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D48E8" w14:textId="4F767F49" w:rsidR="002C2BE2" w:rsidRPr="006A3951" w:rsidRDefault="006A3951">
      <w:pPr>
        <w:rPr>
          <w:rFonts w:cstheme="minorHAnsi"/>
          <w:b/>
          <w:bCs/>
          <w:color w:val="212121"/>
          <w:sz w:val="28"/>
          <w:szCs w:val="28"/>
          <w:shd w:val="clear" w:color="auto" w:fill="FFFFFF"/>
          <w:lang w:val="pt-PT"/>
        </w:rPr>
      </w:pPr>
      <w:r w:rsidRPr="006A3951">
        <w:rPr>
          <w:rFonts w:cstheme="minorHAnsi"/>
          <w:b/>
          <w:bCs/>
          <w:color w:val="212121"/>
          <w:sz w:val="28"/>
          <w:szCs w:val="28"/>
          <w:shd w:val="clear" w:color="auto" w:fill="FFFFFF"/>
          <w:lang w:val="pt-PT"/>
        </w:rPr>
        <w:t xml:space="preserve">“Polícias sinaleiros” das células podem ser </w:t>
      </w:r>
      <w:proofErr w:type="spellStart"/>
      <w:r w:rsidRPr="006A3951">
        <w:rPr>
          <w:rFonts w:cstheme="minorHAnsi"/>
          <w:b/>
          <w:bCs/>
          <w:color w:val="212121"/>
          <w:sz w:val="28"/>
          <w:szCs w:val="28"/>
          <w:shd w:val="clear" w:color="auto" w:fill="FFFFFF"/>
          <w:lang w:val="pt-PT"/>
        </w:rPr>
        <w:t>contra-producentes</w:t>
      </w:r>
      <w:proofErr w:type="spellEnd"/>
    </w:p>
    <w:p w14:paraId="0FFDE44C" w14:textId="1A2BE3BF" w:rsidR="006A3951" w:rsidRPr="006A3951" w:rsidRDefault="006A3951">
      <w:pPr>
        <w:rPr>
          <w:rFonts w:cstheme="minorHAnsi"/>
          <w:sz w:val="24"/>
          <w:szCs w:val="24"/>
          <w:lang w:val="pt-PT"/>
        </w:rPr>
      </w:pPr>
    </w:p>
    <w:p w14:paraId="20CCC957" w14:textId="22F170A7" w:rsidR="006A3951" w:rsidRPr="006A3951" w:rsidRDefault="006A3951">
      <w:pPr>
        <w:rPr>
          <w:rFonts w:cstheme="minorHAnsi"/>
          <w:color w:val="212121"/>
          <w:sz w:val="24"/>
          <w:szCs w:val="24"/>
          <w:shd w:val="clear" w:color="auto" w:fill="FFFFFF"/>
          <w:lang w:val="pt-PT"/>
        </w:rPr>
      </w:pPr>
      <w:r w:rsidRPr="006A3951">
        <w:rPr>
          <w:rFonts w:cstheme="minorHAnsi"/>
          <w:color w:val="212121"/>
          <w:sz w:val="24"/>
          <w:szCs w:val="24"/>
          <w:shd w:val="clear" w:color="auto" w:fill="FFFFFF"/>
          <w:lang w:val="pt-PT"/>
        </w:rPr>
        <w:t>Investigadores descobrem que os guardiões da divisão celular podem também contribuir para um aumento dos erros genéticos</w:t>
      </w:r>
      <w:r w:rsidRPr="006A3951">
        <w:rPr>
          <w:rFonts w:cstheme="minorHAnsi"/>
          <w:color w:val="212121"/>
          <w:sz w:val="24"/>
          <w:szCs w:val="24"/>
          <w:shd w:val="clear" w:color="auto" w:fill="FFFFFF"/>
          <w:lang w:val="pt-PT"/>
        </w:rPr>
        <w:t>.</w:t>
      </w:r>
    </w:p>
    <w:p w14:paraId="74734FD6" w14:textId="06CAB750" w:rsidR="006A3951" w:rsidRPr="006A3951" w:rsidRDefault="006A3951">
      <w:pPr>
        <w:rPr>
          <w:rFonts w:cstheme="minorHAnsi"/>
          <w:sz w:val="24"/>
          <w:szCs w:val="24"/>
          <w:lang w:val="pt-PT"/>
        </w:rPr>
      </w:pPr>
    </w:p>
    <w:p w14:paraId="73F22633" w14:textId="544B0CA4"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r w:rsidRPr="006A3951">
        <w:rPr>
          <w:rFonts w:eastAsia="Times New Roman" w:cstheme="minorHAnsi"/>
          <w:color w:val="212121"/>
          <w:sz w:val="24"/>
          <w:szCs w:val="24"/>
          <w:lang w:val="pt-PT" w:eastAsia="pt-PT"/>
        </w:rPr>
        <w:t>Uma equipa de investigação do</w:t>
      </w:r>
      <w:r>
        <w:rPr>
          <w:rFonts w:eastAsia="Times New Roman" w:cstheme="minorHAnsi"/>
          <w:color w:val="212121"/>
          <w:sz w:val="24"/>
          <w:szCs w:val="24"/>
          <w:lang w:val="pt-PT" w:eastAsia="pt-PT"/>
        </w:rPr>
        <w:t xml:space="preserve"> </w:t>
      </w:r>
      <w:hyperlink r:id="rId4" w:tgtFrame="_blank" w:history="1">
        <w:r w:rsidRPr="006A3951">
          <w:rPr>
            <w:rFonts w:eastAsia="Times New Roman" w:cstheme="minorHAnsi"/>
            <w:color w:val="1155CC"/>
            <w:sz w:val="24"/>
            <w:szCs w:val="24"/>
            <w:u w:val="single"/>
            <w:lang w:val="pt-PT" w:eastAsia="pt-PT"/>
          </w:rPr>
          <w:t>Instituto Gulbenkian de Ciência</w:t>
        </w:r>
      </w:hyperlink>
      <w:r>
        <w:rPr>
          <w:rFonts w:eastAsia="Times New Roman" w:cstheme="minorHAnsi"/>
          <w:color w:val="212121"/>
          <w:sz w:val="24"/>
          <w:szCs w:val="24"/>
          <w:lang w:val="pt-PT" w:eastAsia="pt-PT"/>
        </w:rPr>
        <w:t xml:space="preserve"> </w:t>
      </w:r>
      <w:r w:rsidRPr="006A3951">
        <w:rPr>
          <w:rFonts w:eastAsia="Times New Roman" w:cstheme="minorHAnsi"/>
          <w:color w:val="212121"/>
          <w:sz w:val="24"/>
          <w:szCs w:val="24"/>
          <w:lang w:val="pt-PT" w:eastAsia="pt-PT"/>
        </w:rPr>
        <w:t>(IGC) e do</w:t>
      </w:r>
      <w:r>
        <w:rPr>
          <w:rFonts w:eastAsia="Times New Roman" w:cstheme="minorHAnsi"/>
          <w:color w:val="212121"/>
          <w:sz w:val="24"/>
          <w:szCs w:val="24"/>
          <w:lang w:val="pt-PT" w:eastAsia="pt-PT"/>
        </w:rPr>
        <w:t xml:space="preserve"> </w:t>
      </w:r>
      <w:hyperlink r:id="rId5" w:tgtFrame="_blank" w:history="1">
        <w:r w:rsidRPr="006A3951">
          <w:rPr>
            <w:rFonts w:eastAsia="Times New Roman" w:cstheme="minorHAnsi"/>
            <w:color w:val="1155CC"/>
            <w:sz w:val="24"/>
            <w:szCs w:val="24"/>
            <w:u w:val="single"/>
            <w:lang w:val="pt-PT" w:eastAsia="pt-PT"/>
          </w:rPr>
          <w:t>Centro de Investigação em Biomedicina</w:t>
        </w:r>
      </w:hyperlink>
      <w:r>
        <w:rPr>
          <w:rFonts w:eastAsia="Times New Roman" w:cstheme="minorHAnsi"/>
          <w:color w:val="212121"/>
          <w:sz w:val="24"/>
          <w:szCs w:val="24"/>
          <w:lang w:val="pt-PT" w:eastAsia="pt-PT"/>
        </w:rPr>
        <w:t xml:space="preserve"> </w:t>
      </w:r>
      <w:r w:rsidRPr="006A3951">
        <w:rPr>
          <w:rFonts w:eastAsia="Times New Roman" w:cstheme="minorHAnsi"/>
          <w:color w:val="212121"/>
          <w:sz w:val="24"/>
          <w:szCs w:val="24"/>
          <w:lang w:val="pt-PT" w:eastAsia="pt-PT"/>
        </w:rPr>
        <w:t>(CBMR)/ Universidade do Algarve, liderada por</w:t>
      </w:r>
      <w:r>
        <w:rPr>
          <w:rFonts w:eastAsia="Times New Roman" w:cstheme="minorHAnsi"/>
          <w:color w:val="212121"/>
          <w:sz w:val="24"/>
          <w:szCs w:val="24"/>
          <w:lang w:val="pt-PT" w:eastAsia="pt-PT"/>
        </w:rPr>
        <w:t xml:space="preserve"> </w:t>
      </w:r>
      <w:hyperlink r:id="rId6" w:tgtFrame="_blank" w:history="1">
        <w:r w:rsidRPr="006A3951">
          <w:rPr>
            <w:rFonts w:eastAsia="Times New Roman" w:cstheme="minorHAnsi"/>
            <w:color w:val="1155CC"/>
            <w:sz w:val="24"/>
            <w:szCs w:val="24"/>
            <w:u w:val="single"/>
            <w:lang w:val="pt-PT" w:eastAsia="pt-PT"/>
          </w:rPr>
          <w:t>Raquel Oliveira</w:t>
        </w:r>
      </w:hyperlink>
      <w:r>
        <w:rPr>
          <w:rFonts w:eastAsia="Times New Roman" w:cstheme="minorHAnsi"/>
          <w:color w:val="222222"/>
          <w:sz w:val="24"/>
          <w:szCs w:val="24"/>
          <w:lang w:val="pt-PT" w:eastAsia="pt-PT"/>
        </w:rPr>
        <w:t xml:space="preserve"> </w:t>
      </w:r>
      <w:r w:rsidRPr="006A3951">
        <w:rPr>
          <w:rFonts w:eastAsia="Times New Roman" w:cstheme="minorHAnsi"/>
          <w:color w:val="212121"/>
          <w:sz w:val="24"/>
          <w:szCs w:val="24"/>
          <w:lang w:val="pt-PT" w:eastAsia="pt-PT"/>
        </w:rPr>
        <w:t>(IGC) e</w:t>
      </w:r>
      <w:r>
        <w:rPr>
          <w:rFonts w:eastAsia="Times New Roman" w:cstheme="minorHAnsi"/>
          <w:color w:val="212121"/>
          <w:sz w:val="24"/>
          <w:szCs w:val="24"/>
          <w:lang w:val="pt-PT" w:eastAsia="pt-PT"/>
        </w:rPr>
        <w:t xml:space="preserve"> </w:t>
      </w:r>
      <w:hyperlink r:id="rId7" w:tgtFrame="_blank" w:history="1">
        <w:r w:rsidRPr="006A3951">
          <w:rPr>
            <w:rFonts w:eastAsia="Times New Roman" w:cstheme="minorHAnsi"/>
            <w:color w:val="1155CC"/>
            <w:sz w:val="24"/>
            <w:szCs w:val="24"/>
            <w:u w:val="single"/>
            <w:lang w:val="pt-PT" w:eastAsia="pt-PT"/>
          </w:rPr>
          <w:t>Rui Gonçalo Martinho</w:t>
        </w:r>
      </w:hyperlink>
      <w:r>
        <w:rPr>
          <w:rFonts w:eastAsia="Times New Roman" w:cstheme="minorHAnsi"/>
          <w:color w:val="212121"/>
          <w:sz w:val="24"/>
          <w:szCs w:val="24"/>
          <w:lang w:val="pt-PT" w:eastAsia="pt-PT"/>
        </w:rPr>
        <w:t xml:space="preserve"> </w:t>
      </w:r>
      <w:r w:rsidRPr="006A3951">
        <w:rPr>
          <w:rFonts w:eastAsia="Times New Roman" w:cstheme="minorHAnsi"/>
          <w:color w:val="212121"/>
          <w:sz w:val="24"/>
          <w:szCs w:val="24"/>
          <w:lang w:val="pt-PT" w:eastAsia="pt-PT"/>
        </w:rPr>
        <w:t xml:space="preserve">(CBMR/ </w:t>
      </w:r>
      <w:proofErr w:type="spellStart"/>
      <w:r w:rsidRPr="006A3951">
        <w:rPr>
          <w:rFonts w:eastAsia="Times New Roman" w:cstheme="minorHAnsi"/>
          <w:color w:val="212121"/>
          <w:sz w:val="24"/>
          <w:szCs w:val="24"/>
          <w:lang w:val="pt-PT" w:eastAsia="pt-PT"/>
        </w:rPr>
        <w:t>UAlg</w:t>
      </w:r>
      <w:proofErr w:type="spellEnd"/>
      <w:r w:rsidRPr="006A3951">
        <w:rPr>
          <w:rFonts w:eastAsia="Times New Roman" w:cstheme="minorHAnsi"/>
          <w:color w:val="212121"/>
          <w:sz w:val="24"/>
          <w:szCs w:val="24"/>
          <w:lang w:val="pt-PT" w:eastAsia="pt-PT"/>
        </w:rPr>
        <w:t>), descobriram que um mecanismo de controlo da divisão celular pode estar associado a um aumento dos erros na distribuição dos cromossomas. Este processo pode ter impacto no</w:t>
      </w:r>
      <w:r>
        <w:rPr>
          <w:rFonts w:eastAsia="Times New Roman" w:cstheme="minorHAnsi"/>
          <w:color w:val="212121"/>
          <w:sz w:val="24"/>
          <w:szCs w:val="24"/>
          <w:lang w:val="pt-PT" w:eastAsia="pt-PT"/>
        </w:rPr>
        <w:t xml:space="preserve"> </w:t>
      </w:r>
      <w:r w:rsidRPr="006A3951">
        <w:rPr>
          <w:rFonts w:eastAsia="Times New Roman" w:cstheme="minorHAnsi"/>
          <w:color w:val="222222"/>
          <w:sz w:val="24"/>
          <w:szCs w:val="24"/>
          <w:lang w:val="pt-PT" w:eastAsia="pt-PT"/>
        </w:rPr>
        <w:t xml:space="preserve">desenvolvimento de patologias como o cancro, a infertilidade ou certas doenças congénitas. O estudo </w:t>
      </w:r>
      <w:r>
        <w:rPr>
          <w:rFonts w:eastAsia="Times New Roman" w:cstheme="minorHAnsi"/>
          <w:color w:val="222222"/>
          <w:sz w:val="24"/>
          <w:szCs w:val="24"/>
          <w:lang w:val="pt-PT" w:eastAsia="pt-PT"/>
        </w:rPr>
        <w:t>foi</w:t>
      </w:r>
      <w:r w:rsidRPr="006A3951">
        <w:rPr>
          <w:rFonts w:eastAsia="Times New Roman" w:cstheme="minorHAnsi"/>
          <w:color w:val="222222"/>
          <w:sz w:val="24"/>
          <w:szCs w:val="24"/>
          <w:lang w:val="pt-PT" w:eastAsia="pt-PT"/>
        </w:rPr>
        <w:t xml:space="preserve"> publicado no dia 16 de </w:t>
      </w:r>
      <w:proofErr w:type="gramStart"/>
      <w:r w:rsidRPr="006A3951">
        <w:rPr>
          <w:rFonts w:eastAsia="Times New Roman" w:cstheme="minorHAnsi"/>
          <w:color w:val="222222"/>
          <w:sz w:val="24"/>
          <w:szCs w:val="24"/>
          <w:lang w:val="pt-PT" w:eastAsia="pt-PT"/>
        </w:rPr>
        <w:t>Agosto</w:t>
      </w:r>
      <w:proofErr w:type="gramEnd"/>
      <w:r w:rsidRPr="006A3951">
        <w:rPr>
          <w:rFonts w:eastAsia="Times New Roman" w:cstheme="minorHAnsi"/>
          <w:color w:val="222222"/>
          <w:sz w:val="24"/>
          <w:szCs w:val="24"/>
          <w:lang w:val="pt-PT" w:eastAsia="pt-PT"/>
        </w:rPr>
        <w:t xml:space="preserve"> na revista científica </w:t>
      </w:r>
      <w:proofErr w:type="spellStart"/>
      <w:r w:rsidRPr="006A3951">
        <w:rPr>
          <w:rFonts w:eastAsia="Times New Roman" w:cstheme="minorHAnsi"/>
          <w:color w:val="222222"/>
          <w:sz w:val="24"/>
          <w:szCs w:val="24"/>
          <w:lang w:val="pt-PT" w:eastAsia="pt-PT"/>
        </w:rPr>
        <w:t>Current</w:t>
      </w:r>
      <w:proofErr w:type="spellEnd"/>
      <w:r w:rsidRPr="006A3951">
        <w:rPr>
          <w:rFonts w:eastAsia="Times New Roman" w:cstheme="minorHAnsi"/>
          <w:color w:val="222222"/>
          <w:sz w:val="24"/>
          <w:szCs w:val="24"/>
          <w:lang w:val="pt-PT" w:eastAsia="pt-PT"/>
        </w:rPr>
        <w:t xml:space="preserve"> </w:t>
      </w:r>
      <w:proofErr w:type="spellStart"/>
      <w:r w:rsidRPr="006A3951">
        <w:rPr>
          <w:rFonts w:eastAsia="Times New Roman" w:cstheme="minorHAnsi"/>
          <w:color w:val="222222"/>
          <w:sz w:val="24"/>
          <w:szCs w:val="24"/>
          <w:lang w:val="pt-PT" w:eastAsia="pt-PT"/>
        </w:rPr>
        <w:t>Biology</w:t>
      </w:r>
      <w:proofErr w:type="spellEnd"/>
      <w:r>
        <w:rPr>
          <w:rFonts w:eastAsia="Times New Roman" w:cstheme="minorHAnsi"/>
          <w:color w:val="222222"/>
          <w:sz w:val="24"/>
          <w:szCs w:val="24"/>
          <w:lang w:val="pt-PT" w:eastAsia="pt-PT"/>
        </w:rPr>
        <w:t xml:space="preserve"> (</w:t>
      </w:r>
      <w:hyperlink r:id="rId8" w:tgtFrame="_blank" w:history="1">
        <w:r w:rsidRPr="006A3951">
          <w:rPr>
            <w:rFonts w:eastAsia="Times New Roman" w:cstheme="minorHAnsi"/>
            <w:color w:val="1155CC"/>
            <w:sz w:val="24"/>
            <w:szCs w:val="24"/>
            <w:u w:val="single"/>
            <w:lang w:val="pt-PT" w:eastAsia="pt-PT"/>
          </w:rPr>
          <w:t>https://doi.org/10.1016/j.cub.2018.06.062</w:t>
        </w:r>
      </w:hyperlink>
      <w:r>
        <w:rPr>
          <w:rFonts w:eastAsia="Times New Roman" w:cstheme="minorHAnsi"/>
          <w:color w:val="0000FF"/>
          <w:sz w:val="24"/>
          <w:szCs w:val="24"/>
          <w:lang w:val="pt-PT" w:eastAsia="pt-PT"/>
        </w:rPr>
        <w:t>)</w:t>
      </w:r>
      <w:r w:rsidRPr="006A3951">
        <w:rPr>
          <w:rFonts w:eastAsia="Times New Roman" w:cstheme="minorHAnsi"/>
          <w:color w:val="222222"/>
          <w:sz w:val="24"/>
          <w:szCs w:val="24"/>
          <w:lang w:val="pt-PT" w:eastAsia="pt-PT"/>
        </w:rPr>
        <w:t>.</w:t>
      </w:r>
    </w:p>
    <w:p w14:paraId="2BB06FA9" w14:textId="77777777"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r w:rsidRPr="006A3951">
        <w:rPr>
          <w:rFonts w:eastAsia="Times New Roman" w:cstheme="minorHAnsi"/>
          <w:color w:val="212121"/>
          <w:sz w:val="24"/>
          <w:szCs w:val="24"/>
          <w:lang w:val="pt-PT" w:eastAsia="pt-PT"/>
        </w:rPr>
        <w:t>O nosso ciclo celular é composto por um conjunto de etapas que as células têm de realizar para dividir-se e duplicar-se. Uma correta divisão das células é importante para assegurar que as novas células recebem o número exato de cromossomas - onde se encontra localizada a nossa informação genética. Quando há falhas neste processo, os erros associados podem contribuir para o desenvolvimento de diversas doenças.</w:t>
      </w:r>
    </w:p>
    <w:p w14:paraId="2AB8670F" w14:textId="77777777"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r w:rsidRPr="006A3951">
        <w:rPr>
          <w:rFonts w:eastAsia="Times New Roman" w:cstheme="minorHAnsi"/>
          <w:color w:val="212121"/>
          <w:sz w:val="24"/>
          <w:szCs w:val="24"/>
          <w:lang w:val="pt-PT" w:eastAsia="pt-PT"/>
        </w:rPr>
        <w:t xml:space="preserve">A investigação, agora publicada, foca-se num mecanismo de regulação, o chamado “checkpoint mitótico” (ou via de controlo da mitose), crucial para garantir a </w:t>
      </w:r>
      <w:proofErr w:type="spellStart"/>
      <w:r w:rsidRPr="006A3951">
        <w:rPr>
          <w:rFonts w:eastAsia="Times New Roman" w:cstheme="minorHAnsi"/>
          <w:color w:val="212121"/>
          <w:sz w:val="24"/>
          <w:szCs w:val="24"/>
          <w:lang w:val="pt-PT" w:eastAsia="pt-PT"/>
        </w:rPr>
        <w:t>correcta</w:t>
      </w:r>
      <w:proofErr w:type="spellEnd"/>
      <w:r w:rsidRPr="006A3951">
        <w:rPr>
          <w:rFonts w:eastAsia="Times New Roman" w:cstheme="minorHAnsi"/>
          <w:color w:val="212121"/>
          <w:sz w:val="24"/>
          <w:szCs w:val="24"/>
          <w:lang w:val="pt-PT" w:eastAsia="pt-PT"/>
        </w:rPr>
        <w:t xml:space="preserve"> separação dos cromossomas. Este “checkpoint mitótico” funciona como uma espécie de polícia sinaleiro que </w:t>
      </w:r>
      <w:proofErr w:type="spellStart"/>
      <w:r w:rsidRPr="006A3951">
        <w:rPr>
          <w:rFonts w:eastAsia="Times New Roman" w:cstheme="minorHAnsi"/>
          <w:color w:val="212121"/>
          <w:sz w:val="24"/>
          <w:szCs w:val="24"/>
          <w:lang w:val="pt-PT" w:eastAsia="pt-PT"/>
        </w:rPr>
        <w:t>pára</w:t>
      </w:r>
      <w:proofErr w:type="spellEnd"/>
      <w:r w:rsidRPr="006A3951">
        <w:rPr>
          <w:rFonts w:eastAsia="Times New Roman" w:cstheme="minorHAnsi"/>
          <w:color w:val="212121"/>
          <w:sz w:val="24"/>
          <w:szCs w:val="24"/>
          <w:lang w:val="pt-PT" w:eastAsia="pt-PT"/>
        </w:rPr>
        <w:t xml:space="preserve"> o trânsito sempre que há problemas de modo a prevenir acidentes.</w:t>
      </w:r>
    </w:p>
    <w:p w14:paraId="7F567AEB" w14:textId="3E215506"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r w:rsidRPr="006A3951">
        <w:rPr>
          <w:rFonts w:eastAsia="Times New Roman" w:cstheme="minorHAnsi"/>
          <w:color w:val="212121"/>
          <w:sz w:val="24"/>
          <w:szCs w:val="24"/>
          <w:lang w:val="pt-PT" w:eastAsia="pt-PT"/>
        </w:rPr>
        <w:t xml:space="preserve">Até aqui, já tinha sido comprovado que a ação “checkpoint mitótico” é importante para prevenir falhas na distribuição dos cromossomas durante a divisão celular, uma vez que consegue </w:t>
      </w:r>
      <w:proofErr w:type="spellStart"/>
      <w:r w:rsidRPr="006A3951">
        <w:rPr>
          <w:rFonts w:eastAsia="Times New Roman" w:cstheme="minorHAnsi"/>
          <w:color w:val="212121"/>
          <w:sz w:val="24"/>
          <w:szCs w:val="24"/>
          <w:lang w:val="pt-PT" w:eastAsia="pt-PT"/>
        </w:rPr>
        <w:t>detectar</w:t>
      </w:r>
      <w:proofErr w:type="spellEnd"/>
      <w:r w:rsidRPr="006A3951">
        <w:rPr>
          <w:rFonts w:eastAsia="Times New Roman" w:cstheme="minorHAnsi"/>
          <w:color w:val="212121"/>
          <w:sz w:val="24"/>
          <w:szCs w:val="24"/>
          <w:lang w:val="pt-PT" w:eastAsia="pt-PT"/>
        </w:rPr>
        <w:t xml:space="preserve"> erros dentro das células e parar o processo de divisão. O trabalho de investigação feito por esta equipa vem mostrar que nem sempre é assim, e que por vezes, a </w:t>
      </w:r>
      <w:proofErr w:type="spellStart"/>
      <w:r w:rsidRPr="006A3951">
        <w:rPr>
          <w:rFonts w:eastAsia="Times New Roman" w:cstheme="minorHAnsi"/>
          <w:color w:val="212121"/>
          <w:sz w:val="24"/>
          <w:szCs w:val="24"/>
          <w:lang w:val="pt-PT" w:eastAsia="pt-PT"/>
        </w:rPr>
        <w:t>acção</w:t>
      </w:r>
      <w:proofErr w:type="spellEnd"/>
      <w:r w:rsidRPr="006A3951">
        <w:rPr>
          <w:rFonts w:eastAsia="Times New Roman" w:cstheme="minorHAnsi"/>
          <w:color w:val="212121"/>
          <w:sz w:val="24"/>
          <w:szCs w:val="24"/>
          <w:lang w:val="pt-PT" w:eastAsia="pt-PT"/>
        </w:rPr>
        <w:t xml:space="preserve"> do polícia sinaleiro pode ser </w:t>
      </w:r>
      <w:proofErr w:type="spellStart"/>
      <w:r w:rsidRPr="006A3951">
        <w:rPr>
          <w:rFonts w:eastAsia="Times New Roman" w:cstheme="minorHAnsi"/>
          <w:color w:val="212121"/>
          <w:sz w:val="24"/>
          <w:szCs w:val="24"/>
          <w:lang w:val="pt-PT" w:eastAsia="pt-PT"/>
        </w:rPr>
        <w:t>contra-producente</w:t>
      </w:r>
      <w:proofErr w:type="spellEnd"/>
      <w:r w:rsidRPr="006A3951">
        <w:rPr>
          <w:rFonts w:eastAsia="Times New Roman" w:cstheme="minorHAnsi"/>
          <w:color w:val="212121"/>
          <w:sz w:val="24"/>
          <w:szCs w:val="24"/>
          <w:lang w:val="pt-PT" w:eastAsia="pt-PT"/>
        </w:rPr>
        <w:t>.</w:t>
      </w:r>
      <w:r>
        <w:rPr>
          <w:rFonts w:eastAsia="Times New Roman" w:cstheme="minorHAnsi"/>
          <w:color w:val="212121"/>
          <w:sz w:val="24"/>
          <w:szCs w:val="24"/>
          <w:lang w:val="pt-PT" w:eastAsia="pt-PT"/>
        </w:rPr>
        <w:t xml:space="preserve"> </w:t>
      </w:r>
      <w:r w:rsidRPr="006A3951">
        <w:rPr>
          <w:rFonts w:eastAsia="Times New Roman" w:cstheme="minorHAnsi"/>
          <w:color w:val="212121"/>
          <w:sz w:val="24"/>
          <w:szCs w:val="24"/>
          <w:lang w:val="pt-PT" w:eastAsia="pt-PT"/>
        </w:rPr>
        <w:t xml:space="preserve">Os investigadores mostraram que este era o caso quando as células apresentavam problemas na “cola” que une os cromossomas. Na presença destes erros irreversíveis, a </w:t>
      </w:r>
      <w:proofErr w:type="spellStart"/>
      <w:r w:rsidRPr="006A3951">
        <w:rPr>
          <w:rFonts w:eastAsia="Times New Roman" w:cstheme="minorHAnsi"/>
          <w:color w:val="212121"/>
          <w:sz w:val="24"/>
          <w:szCs w:val="24"/>
          <w:lang w:val="pt-PT" w:eastAsia="pt-PT"/>
        </w:rPr>
        <w:t>acção</w:t>
      </w:r>
      <w:proofErr w:type="spellEnd"/>
      <w:r w:rsidRPr="006A3951">
        <w:rPr>
          <w:rFonts w:eastAsia="Times New Roman" w:cstheme="minorHAnsi"/>
          <w:color w:val="212121"/>
          <w:sz w:val="24"/>
          <w:szCs w:val="24"/>
          <w:lang w:val="pt-PT" w:eastAsia="pt-PT"/>
        </w:rPr>
        <w:t xml:space="preserve"> continuada do “checkpoint mitótico” pode levar a um aumento dos erros genéticos.</w:t>
      </w:r>
    </w:p>
    <w:p w14:paraId="33B68CB9" w14:textId="77777777"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r w:rsidRPr="006A3951">
        <w:rPr>
          <w:rFonts w:eastAsia="Times New Roman" w:cstheme="minorHAnsi"/>
          <w:color w:val="212121"/>
          <w:sz w:val="24"/>
          <w:szCs w:val="24"/>
          <w:lang w:val="pt-PT" w:eastAsia="pt-PT"/>
        </w:rPr>
        <w:t>Como explica Rui Martinho “se o problema for irreversível e se o polícia sinaleiro parar continuadamente o trânsito, a solução é pior que o problema, exacerbando a probabilidade de ocorrerem acidentes graves”.</w:t>
      </w:r>
    </w:p>
    <w:p w14:paraId="7D4158B7" w14:textId="77777777"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r w:rsidRPr="006A3951">
        <w:rPr>
          <w:rFonts w:eastAsia="Times New Roman" w:cstheme="minorHAnsi"/>
          <w:color w:val="212121"/>
          <w:sz w:val="24"/>
          <w:szCs w:val="24"/>
          <w:lang w:val="pt-PT" w:eastAsia="pt-PT"/>
        </w:rPr>
        <w:t xml:space="preserve">A experiência, levada a cabo com a mosca-da-fruta </w:t>
      </w:r>
      <w:proofErr w:type="spellStart"/>
      <w:r w:rsidRPr="006A3951">
        <w:rPr>
          <w:rFonts w:eastAsia="Times New Roman" w:cstheme="minorHAnsi"/>
          <w:i/>
          <w:color w:val="212121"/>
          <w:sz w:val="24"/>
          <w:szCs w:val="24"/>
          <w:lang w:val="pt-PT" w:eastAsia="pt-PT"/>
        </w:rPr>
        <w:t>Drosophila</w:t>
      </w:r>
      <w:proofErr w:type="spellEnd"/>
      <w:r w:rsidRPr="006A3951">
        <w:rPr>
          <w:rFonts w:eastAsia="Times New Roman" w:cstheme="minorHAnsi"/>
          <w:i/>
          <w:color w:val="212121"/>
          <w:sz w:val="24"/>
          <w:szCs w:val="24"/>
          <w:lang w:val="pt-PT" w:eastAsia="pt-PT"/>
        </w:rPr>
        <w:t xml:space="preserve"> </w:t>
      </w:r>
      <w:proofErr w:type="spellStart"/>
      <w:r w:rsidRPr="006A3951">
        <w:rPr>
          <w:rFonts w:eastAsia="Times New Roman" w:cstheme="minorHAnsi"/>
          <w:i/>
          <w:color w:val="212121"/>
          <w:sz w:val="24"/>
          <w:szCs w:val="24"/>
          <w:lang w:val="pt-PT" w:eastAsia="pt-PT"/>
        </w:rPr>
        <w:t>melanogaster</w:t>
      </w:r>
      <w:proofErr w:type="spellEnd"/>
      <w:r w:rsidRPr="006A3951">
        <w:rPr>
          <w:rFonts w:eastAsia="Times New Roman" w:cstheme="minorHAnsi"/>
          <w:color w:val="212121"/>
          <w:sz w:val="24"/>
          <w:szCs w:val="24"/>
          <w:lang w:val="pt-PT" w:eastAsia="pt-PT"/>
        </w:rPr>
        <w:t>, vem assim “abanar” um dogma científico – de que a função do “checkpoint mitótico” é sempre benéfica para as células em divisão.</w:t>
      </w:r>
    </w:p>
    <w:p w14:paraId="4EF55792" w14:textId="77777777"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r w:rsidRPr="006A3951">
        <w:rPr>
          <w:rFonts w:eastAsia="Times New Roman" w:cstheme="minorHAnsi"/>
          <w:color w:val="212121"/>
          <w:sz w:val="24"/>
          <w:szCs w:val="24"/>
          <w:lang w:val="pt-PT" w:eastAsia="pt-PT"/>
        </w:rPr>
        <w:t>Este estudo mostra que “erros associados à perda de coesão entre os cromossomas, comuns em várias doenças humanas, poderão até ser parcialmente corrigidos pela remoção do polícia sinaleiro, ao contrário do que seria de esperar”, explica Raquel Oliveira”.</w:t>
      </w:r>
    </w:p>
    <w:p w14:paraId="352D55E1" w14:textId="5FD054C2" w:rsidR="006A3951" w:rsidRDefault="006A3951" w:rsidP="006A3951">
      <w:pPr>
        <w:shd w:val="clear" w:color="auto" w:fill="FFFFFF"/>
        <w:spacing w:after="0" w:line="240" w:lineRule="auto"/>
        <w:jc w:val="both"/>
        <w:rPr>
          <w:rFonts w:eastAsia="Times New Roman" w:cstheme="minorHAnsi"/>
          <w:color w:val="212121"/>
          <w:sz w:val="24"/>
          <w:szCs w:val="24"/>
          <w:lang w:val="pt-PT" w:eastAsia="pt-PT"/>
        </w:rPr>
      </w:pPr>
      <w:r w:rsidRPr="006A3951">
        <w:rPr>
          <w:rFonts w:eastAsia="Times New Roman" w:cstheme="minorHAnsi"/>
          <w:color w:val="212121"/>
          <w:sz w:val="24"/>
          <w:szCs w:val="24"/>
          <w:lang w:val="pt-PT" w:eastAsia="pt-PT"/>
        </w:rPr>
        <w:t xml:space="preserve">Recorde-se, aliás, que o “checkpoint mitótico” é atualmente um dos alvos da terapia do cancro. A equipa está neste momento a testar se a observação descrita em mosca-da-fruta também se verifica em células humanas. Se for o caso, poderemos estar diante de uma importante descoberta que ajudará a compreender o papel do “checkpoint </w:t>
      </w:r>
      <w:r w:rsidRPr="006A3951">
        <w:rPr>
          <w:rFonts w:eastAsia="Times New Roman" w:cstheme="minorHAnsi"/>
          <w:color w:val="212121"/>
          <w:sz w:val="24"/>
          <w:szCs w:val="24"/>
          <w:lang w:val="pt-PT" w:eastAsia="pt-PT"/>
        </w:rPr>
        <w:lastRenderedPageBreak/>
        <w:t>mitótico” e da coesão dos cromossomas no desenvolvimento das várias patologias. Estes resultados podem também vir a contribuir para a definição de estratégias terapêuticas, quer no cancro, quer em outras patologias associadas a erros na divisão celular.</w:t>
      </w:r>
    </w:p>
    <w:p w14:paraId="56507124" w14:textId="77777777"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p>
    <w:p w14:paraId="06B3178A" w14:textId="456571EC" w:rsidR="006A3951" w:rsidRPr="006A3951" w:rsidRDefault="006A3951" w:rsidP="006A3951">
      <w:pPr>
        <w:shd w:val="clear" w:color="auto" w:fill="FFFFFF"/>
        <w:spacing w:after="0" w:line="240" w:lineRule="auto"/>
        <w:jc w:val="both"/>
        <w:rPr>
          <w:rFonts w:eastAsia="Times New Roman" w:cstheme="minorHAnsi"/>
          <w:color w:val="222222"/>
          <w:sz w:val="24"/>
          <w:szCs w:val="24"/>
          <w:lang w:val="pt-PT" w:eastAsia="pt-PT"/>
        </w:rPr>
      </w:pPr>
      <w:r w:rsidRPr="006A3951">
        <w:rPr>
          <w:rFonts w:eastAsia="Times New Roman" w:cstheme="minorHAnsi"/>
          <w:b/>
          <w:bCs/>
          <w:color w:val="222222"/>
          <w:sz w:val="24"/>
          <w:szCs w:val="24"/>
          <w:lang w:val="pt-PT" w:eastAsia="pt-PT"/>
        </w:rPr>
        <w:t>Legenda da imagem:</w:t>
      </w:r>
      <w:r>
        <w:rPr>
          <w:rFonts w:eastAsia="Times New Roman" w:cstheme="minorHAnsi"/>
          <w:color w:val="222222"/>
          <w:sz w:val="24"/>
          <w:szCs w:val="24"/>
          <w:lang w:val="pt-PT" w:eastAsia="pt-PT"/>
        </w:rPr>
        <w:t xml:space="preserve"> </w:t>
      </w:r>
      <w:r w:rsidRPr="006A3951">
        <w:rPr>
          <w:rFonts w:eastAsia="Times New Roman" w:cstheme="minorHAnsi"/>
          <w:color w:val="222222"/>
          <w:sz w:val="24"/>
          <w:szCs w:val="24"/>
          <w:lang w:val="pt-PT" w:eastAsia="pt-PT"/>
        </w:rPr>
        <w:t>Cromossomas das células da mosca da fruta durante a divisão celular. Créditos: Alexandra Tavares, IGC.</w:t>
      </w:r>
    </w:p>
    <w:p w14:paraId="29E72133" w14:textId="671143AC" w:rsidR="006A3951" w:rsidRDefault="006A3951">
      <w:pPr>
        <w:rPr>
          <w:lang w:val="pt-PT"/>
        </w:rPr>
      </w:pPr>
    </w:p>
    <w:p w14:paraId="1C5E1645" w14:textId="7A895B69" w:rsidR="006A3951" w:rsidRPr="006A3951" w:rsidRDefault="00D434E8">
      <w:pPr>
        <w:rPr>
          <w:rFonts w:eastAsia="Times New Roman" w:cstheme="minorHAnsi"/>
          <w:color w:val="222222"/>
          <w:sz w:val="24"/>
          <w:szCs w:val="24"/>
          <w:lang w:val="pt-PT" w:eastAsia="pt-PT"/>
        </w:rPr>
      </w:pPr>
      <w:r>
        <w:rPr>
          <w:rFonts w:eastAsia="Times New Roman" w:cstheme="minorHAnsi"/>
          <w:color w:val="222222"/>
          <w:sz w:val="24"/>
          <w:szCs w:val="24"/>
          <w:lang w:val="pt-PT" w:eastAsia="pt-PT"/>
        </w:rPr>
        <w:t xml:space="preserve">Gabinete de Comunicação </w:t>
      </w:r>
      <w:bookmarkStart w:id="0" w:name="_GoBack"/>
      <w:bookmarkEnd w:id="0"/>
      <w:r w:rsidR="006A3951" w:rsidRPr="006A3951">
        <w:rPr>
          <w:rFonts w:eastAsia="Times New Roman" w:cstheme="minorHAnsi"/>
          <w:color w:val="222222"/>
          <w:sz w:val="24"/>
          <w:szCs w:val="24"/>
          <w:lang w:val="pt-PT" w:eastAsia="pt-PT"/>
        </w:rPr>
        <w:fldChar w:fldCharType="begin"/>
      </w:r>
      <w:r w:rsidR="006A3951" w:rsidRPr="006A3951">
        <w:rPr>
          <w:rFonts w:eastAsia="Times New Roman" w:cstheme="minorHAnsi"/>
          <w:color w:val="222222"/>
          <w:sz w:val="24"/>
          <w:szCs w:val="24"/>
          <w:lang w:val="pt-PT" w:eastAsia="pt-PT"/>
        </w:rPr>
        <w:instrText xml:space="preserve"> HYPERLINK "http://www.igc.gulbenkian.pt/" \t "_blank" </w:instrText>
      </w:r>
      <w:r w:rsidR="006A3951" w:rsidRPr="006A3951">
        <w:rPr>
          <w:rFonts w:eastAsia="Times New Roman" w:cstheme="minorHAnsi"/>
          <w:color w:val="222222"/>
          <w:sz w:val="24"/>
          <w:szCs w:val="24"/>
          <w:lang w:val="pt-PT" w:eastAsia="pt-PT"/>
        </w:rPr>
        <w:fldChar w:fldCharType="separate"/>
      </w:r>
      <w:r w:rsidR="006A3951" w:rsidRPr="006A3951">
        <w:rPr>
          <w:rFonts w:eastAsia="Times New Roman" w:cstheme="minorHAnsi"/>
          <w:color w:val="1155CC"/>
          <w:sz w:val="24"/>
          <w:szCs w:val="24"/>
          <w:u w:val="single"/>
          <w:lang w:val="pt-PT" w:eastAsia="pt-PT"/>
        </w:rPr>
        <w:t>Instituto Gulbenkian de Ciência</w:t>
      </w:r>
      <w:r w:rsidR="006A3951" w:rsidRPr="006A3951">
        <w:rPr>
          <w:rFonts w:eastAsia="Times New Roman" w:cstheme="minorHAnsi"/>
          <w:color w:val="222222"/>
          <w:sz w:val="24"/>
          <w:szCs w:val="24"/>
          <w:lang w:val="pt-PT" w:eastAsia="pt-PT"/>
        </w:rPr>
        <w:fldChar w:fldCharType="end"/>
      </w:r>
      <w:r w:rsidR="006A3951" w:rsidRPr="006A3951">
        <w:rPr>
          <w:rFonts w:eastAsia="Times New Roman" w:cstheme="minorHAnsi"/>
          <w:color w:val="222222"/>
          <w:sz w:val="24"/>
          <w:szCs w:val="24"/>
          <w:lang w:val="pt-PT" w:eastAsia="pt-PT"/>
        </w:rPr>
        <w:t xml:space="preserve"> e </w:t>
      </w:r>
      <w:hyperlink r:id="rId9" w:tgtFrame="_blank" w:history="1">
        <w:r w:rsidR="006A3951" w:rsidRPr="006A3951">
          <w:rPr>
            <w:rFonts w:eastAsia="Times New Roman" w:cstheme="minorHAnsi"/>
            <w:color w:val="1155CC"/>
            <w:sz w:val="24"/>
            <w:szCs w:val="24"/>
            <w:u w:val="single"/>
            <w:lang w:val="pt-PT" w:eastAsia="pt-PT"/>
          </w:rPr>
          <w:t>Centro de Investigação em Biomedicina</w:t>
        </w:r>
      </w:hyperlink>
    </w:p>
    <w:p w14:paraId="05512B03" w14:textId="4630DC6C" w:rsidR="006A3951" w:rsidRPr="006A3951" w:rsidRDefault="006A3951">
      <w:pPr>
        <w:rPr>
          <w:sz w:val="24"/>
          <w:szCs w:val="24"/>
          <w:lang w:val="pt-PT"/>
        </w:rPr>
      </w:pPr>
      <w:r w:rsidRPr="006A3951">
        <w:rPr>
          <w:sz w:val="24"/>
          <w:szCs w:val="24"/>
          <w:lang w:val="pt-PT"/>
        </w:rPr>
        <w:t>Ciência na Imprensa Regional – Ciência Viva</w:t>
      </w:r>
    </w:p>
    <w:p w14:paraId="08B9D8E4" w14:textId="77777777" w:rsidR="006A3951" w:rsidRPr="006A3951" w:rsidRDefault="006A3951">
      <w:pPr>
        <w:rPr>
          <w:lang w:val="pt-PT"/>
        </w:rPr>
      </w:pPr>
    </w:p>
    <w:sectPr w:rsidR="006A3951" w:rsidRPr="006A39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88"/>
    <w:rsid w:val="002C2BE2"/>
    <w:rsid w:val="006A3951"/>
    <w:rsid w:val="00C26C8F"/>
    <w:rsid w:val="00D434E8"/>
    <w:rsid w:val="00F22B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74E7"/>
  <w15:chartTrackingRefBased/>
  <w15:docId w15:val="{38E8388F-4D8D-4556-B4DD-CDA1E4E4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6A3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9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ub.2018.06.062" TargetMode="External"/><Relationship Id="rId3" Type="http://schemas.openxmlformats.org/officeDocument/2006/relationships/webSettings" Target="webSettings.xml"/><Relationship Id="rId7" Type="http://schemas.openxmlformats.org/officeDocument/2006/relationships/hyperlink" Target="http://cbmr.ualg.pt/research/stemcelldevelop/ruimartinh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t.igc.gulbenkian.pt/rcoliveira" TargetMode="External"/><Relationship Id="rId11" Type="http://schemas.openxmlformats.org/officeDocument/2006/relationships/theme" Target="theme/theme1.xml"/><Relationship Id="rId5" Type="http://schemas.openxmlformats.org/officeDocument/2006/relationships/hyperlink" Target="http://cbmr.ualg.pt/" TargetMode="External"/><Relationship Id="rId10" Type="http://schemas.openxmlformats.org/officeDocument/2006/relationships/fontTable" Target="fontTable.xml"/><Relationship Id="rId4" Type="http://schemas.openxmlformats.org/officeDocument/2006/relationships/hyperlink" Target="http://www.igc.gulbenkian.pt/" TargetMode="External"/><Relationship Id="rId9" Type="http://schemas.openxmlformats.org/officeDocument/2006/relationships/hyperlink" Target="http://cbmr.ualg.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3510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2018-08-17T13:57:00Z</dcterms:created>
  <dcterms:modified xsi:type="dcterms:W3CDTF">2018-08-17T14:02:00Z</dcterms:modified>
</cp:coreProperties>
</file>