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A3B" w:rsidRPr="000E148D" w:rsidRDefault="000E1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PO.RO.S:</w:t>
      </w:r>
      <w:r w:rsidRPr="000E148D">
        <w:rPr>
          <w:rFonts w:ascii="Times New Roman" w:hAnsi="Times New Roman" w:cs="Times New Roman"/>
          <w:b/>
          <w:sz w:val="24"/>
          <w:szCs w:val="24"/>
        </w:rPr>
        <w:t xml:space="preserve"> um Museu sobre o Romano</w:t>
      </w:r>
    </w:p>
    <w:p w:rsidR="000E148D" w:rsidRPr="000E148D" w:rsidRDefault="000E148D">
      <w:pPr>
        <w:rPr>
          <w:rFonts w:ascii="Times New Roman" w:hAnsi="Times New Roman" w:cs="Times New Roman"/>
          <w:b/>
          <w:sz w:val="24"/>
          <w:szCs w:val="24"/>
        </w:rPr>
      </w:pPr>
    </w:p>
    <w:p w:rsidR="000E148D" w:rsidRDefault="000E148D" w:rsidP="000E148D">
      <w:pPr>
        <w:jc w:val="both"/>
        <w:rPr>
          <w:rFonts w:ascii="Times New Roman" w:hAnsi="Times New Roman" w:cs="Times New Roman"/>
          <w:sz w:val="24"/>
          <w:szCs w:val="24"/>
        </w:rPr>
      </w:pPr>
      <w:r w:rsidRPr="000E148D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0E148D">
        <w:rPr>
          <w:rFonts w:ascii="Times New Roman" w:hAnsi="Times New Roman" w:cs="Times New Roman"/>
          <w:sz w:val="24"/>
          <w:szCs w:val="24"/>
        </w:rPr>
        <w:t>Em Condeixa-a-Nova</w:t>
      </w:r>
      <w:r>
        <w:rPr>
          <w:rFonts w:ascii="Times New Roman" w:hAnsi="Times New Roman" w:cs="Times New Roman"/>
          <w:sz w:val="24"/>
          <w:szCs w:val="24"/>
        </w:rPr>
        <w:t xml:space="preserve"> nasceu no dia 6 de Maio de 2017 um museu dedicado à Antiguidade Clássica, mais esp</w:t>
      </w:r>
      <w:r w:rsidR="00E15620">
        <w:rPr>
          <w:rFonts w:ascii="Times New Roman" w:hAnsi="Times New Roman" w:cs="Times New Roman"/>
          <w:sz w:val="24"/>
          <w:szCs w:val="24"/>
        </w:rPr>
        <w:t xml:space="preserve">ecificamente, ao período romano – PO.RO.S. </w:t>
      </w:r>
    </w:p>
    <w:p w:rsidR="000E148D" w:rsidRDefault="000E148D" w:rsidP="000E1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48D" w:rsidRDefault="000E148D" w:rsidP="008B7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Ruínas de Conímbriga, e o correspondente Museu Monográfico, são amplamente conhecidas e visitadas durante todos os dia</w:t>
      </w:r>
      <w:r w:rsidR="00D967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D967FF">
        <w:rPr>
          <w:rFonts w:ascii="Times New Roman" w:hAnsi="Times New Roman" w:cs="Times New Roman"/>
          <w:sz w:val="24"/>
          <w:szCs w:val="24"/>
        </w:rPr>
        <w:t xml:space="preserve"> ano: trata-se de um dos locais da cultura com maior afluência de público fora das portas da cidade de Lisboa. Neste entorno, e sendo a presença romana uma realidade premente e expressiva, o Município de Condeixa entendeu pertinente converter um espaço altamente si</w:t>
      </w:r>
      <w:r w:rsidR="00A528FE">
        <w:rPr>
          <w:rFonts w:ascii="Times New Roman" w:hAnsi="Times New Roman" w:cs="Times New Roman"/>
          <w:sz w:val="24"/>
          <w:szCs w:val="24"/>
        </w:rPr>
        <w:t>mbólico da Vila – a Quinta de São</w:t>
      </w:r>
      <w:r w:rsidR="00D967FF">
        <w:rPr>
          <w:rFonts w:ascii="Times New Roman" w:hAnsi="Times New Roman" w:cs="Times New Roman"/>
          <w:sz w:val="24"/>
          <w:szCs w:val="24"/>
        </w:rPr>
        <w:t xml:space="preserve"> Tomé, na casa que dá conta do Portugal Romano em Sicó. PO.RO.S significa, portanto, Museu Portugal Romano em Sicó: sendo Sicó um território constituído por seis concelhos marcados pela serra que lhes dá um timbre místico assinalável – Condeixa-a-Nova, Alvaiázere, Ansião, Soure, Penela e Pombal. </w:t>
      </w:r>
    </w:p>
    <w:p w:rsidR="00D967FF" w:rsidRDefault="00D967FF" w:rsidP="008B7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</w:t>
      </w:r>
      <w:r w:rsidR="00A50CD9">
        <w:rPr>
          <w:rFonts w:ascii="Times New Roman" w:hAnsi="Times New Roman" w:cs="Times New Roman"/>
          <w:sz w:val="24"/>
          <w:szCs w:val="24"/>
        </w:rPr>
        <w:t>da circunscrição geográfica que o</w:t>
      </w:r>
      <w:r>
        <w:rPr>
          <w:rFonts w:ascii="Times New Roman" w:hAnsi="Times New Roman" w:cs="Times New Roman"/>
          <w:sz w:val="24"/>
          <w:szCs w:val="24"/>
        </w:rPr>
        <w:t xml:space="preserve"> nome do Museu </w:t>
      </w:r>
      <w:r w:rsidR="00E15649">
        <w:rPr>
          <w:rFonts w:ascii="Times New Roman" w:hAnsi="Times New Roman" w:cs="Times New Roman"/>
          <w:sz w:val="24"/>
          <w:szCs w:val="24"/>
        </w:rPr>
        <w:t>contém</w:t>
      </w:r>
      <w:r w:rsidR="00A50CD9">
        <w:rPr>
          <w:rFonts w:ascii="Times New Roman" w:hAnsi="Times New Roman" w:cs="Times New Roman"/>
          <w:sz w:val="24"/>
          <w:szCs w:val="24"/>
        </w:rPr>
        <w:t>, a sua constituição proporciona uma viagem pela História integral do Império Romano, o que o Túnel do Tempo, passagem por o</w:t>
      </w:r>
      <w:r w:rsidR="00E15649">
        <w:rPr>
          <w:rFonts w:ascii="Times New Roman" w:hAnsi="Times New Roman" w:cs="Times New Roman"/>
          <w:sz w:val="24"/>
          <w:szCs w:val="24"/>
        </w:rPr>
        <w:t xml:space="preserve">nde inicia a visita, metaforiza. Propõe-se viajar ao Passado com os recursos do Futuro: a marca digital responde, assim, às linguagens que </w:t>
      </w:r>
      <w:r w:rsidR="00A528FE">
        <w:rPr>
          <w:rFonts w:ascii="Times New Roman" w:hAnsi="Times New Roman" w:cs="Times New Roman"/>
          <w:sz w:val="24"/>
          <w:szCs w:val="24"/>
        </w:rPr>
        <w:t>caracterizam a</w:t>
      </w:r>
      <w:r w:rsidR="00E15649">
        <w:rPr>
          <w:rFonts w:ascii="Times New Roman" w:hAnsi="Times New Roman" w:cs="Times New Roman"/>
          <w:sz w:val="24"/>
          <w:szCs w:val="24"/>
        </w:rPr>
        <w:t xml:space="preserve"> época em que nos encontramos. Atravessado o Túnel e, logo a seguir, imersos em imagens que propõem ainda a regressão temporal, o</w:t>
      </w:r>
      <w:r w:rsidR="00601B77">
        <w:rPr>
          <w:rFonts w:ascii="Times New Roman" w:hAnsi="Times New Roman" w:cs="Times New Roman"/>
          <w:sz w:val="24"/>
          <w:szCs w:val="24"/>
        </w:rPr>
        <w:t>s</w:t>
      </w:r>
      <w:r w:rsidR="00A528FE">
        <w:rPr>
          <w:rFonts w:ascii="Times New Roman" w:hAnsi="Times New Roman" w:cs="Times New Roman"/>
          <w:sz w:val="24"/>
          <w:szCs w:val="24"/>
        </w:rPr>
        <w:t>/a</w:t>
      </w:r>
      <w:r w:rsidR="00E15649">
        <w:rPr>
          <w:rFonts w:ascii="Times New Roman" w:hAnsi="Times New Roman" w:cs="Times New Roman"/>
          <w:sz w:val="24"/>
          <w:szCs w:val="24"/>
        </w:rPr>
        <w:t>s visitantes acedem à sala inicial, aquela que dá conta da formação do Império Romano</w:t>
      </w:r>
      <w:r w:rsidR="00E15620">
        <w:rPr>
          <w:rFonts w:ascii="Times New Roman" w:hAnsi="Times New Roman" w:cs="Times New Roman"/>
          <w:sz w:val="24"/>
          <w:szCs w:val="24"/>
        </w:rPr>
        <w:t xml:space="preserve"> e sua extensão. Após o impacto do “ouro sobre azul”, sucedem-se diversas salas, dispostas em dois pisos, cada uma </w:t>
      </w:r>
      <w:r w:rsidR="004A5CF9">
        <w:rPr>
          <w:rFonts w:ascii="Times New Roman" w:hAnsi="Times New Roman" w:cs="Times New Roman"/>
          <w:sz w:val="24"/>
          <w:szCs w:val="24"/>
        </w:rPr>
        <w:t>delas com enfoque temático preciso: desde as Legiões,</w:t>
      </w:r>
      <w:r w:rsidR="00E33D30">
        <w:rPr>
          <w:rFonts w:ascii="Times New Roman" w:hAnsi="Times New Roman" w:cs="Times New Roman"/>
          <w:sz w:val="24"/>
          <w:szCs w:val="24"/>
        </w:rPr>
        <w:t xml:space="preserve"> a</w:t>
      </w:r>
      <w:r w:rsidR="004A5CF9">
        <w:rPr>
          <w:rFonts w:ascii="Times New Roman" w:hAnsi="Times New Roman" w:cs="Times New Roman"/>
          <w:sz w:val="24"/>
          <w:szCs w:val="24"/>
        </w:rPr>
        <w:t xml:space="preserve"> que enfatiza a organização militar dos romanos, passando pela Urbe, </w:t>
      </w:r>
      <w:r w:rsidR="00E33D30">
        <w:rPr>
          <w:rFonts w:ascii="Times New Roman" w:hAnsi="Times New Roman" w:cs="Times New Roman"/>
          <w:sz w:val="24"/>
          <w:szCs w:val="24"/>
        </w:rPr>
        <w:t xml:space="preserve">a </w:t>
      </w:r>
      <w:r w:rsidR="004A5CF9">
        <w:rPr>
          <w:rFonts w:ascii="Times New Roman" w:hAnsi="Times New Roman" w:cs="Times New Roman"/>
          <w:sz w:val="24"/>
          <w:szCs w:val="24"/>
        </w:rPr>
        <w:t xml:space="preserve">que dá conta do </w:t>
      </w:r>
      <w:r w:rsidR="00A528FE">
        <w:rPr>
          <w:rFonts w:ascii="Times New Roman" w:hAnsi="Times New Roman" w:cs="Times New Roman"/>
          <w:sz w:val="24"/>
          <w:szCs w:val="24"/>
        </w:rPr>
        <w:t xml:space="preserve">seu </w:t>
      </w:r>
      <w:r w:rsidR="004A5CF9">
        <w:rPr>
          <w:rFonts w:ascii="Times New Roman" w:hAnsi="Times New Roman" w:cs="Times New Roman"/>
          <w:sz w:val="24"/>
          <w:szCs w:val="24"/>
        </w:rPr>
        <w:t>arrojo construtivo, seguindo mais à frente pela</w:t>
      </w:r>
      <w:r w:rsidR="00E33D30">
        <w:rPr>
          <w:rFonts w:ascii="Times New Roman" w:hAnsi="Times New Roman" w:cs="Times New Roman"/>
          <w:sz w:val="24"/>
          <w:szCs w:val="24"/>
        </w:rPr>
        <w:t xml:space="preserve"> da</w:t>
      </w:r>
      <w:r w:rsidR="004A5CF9">
        <w:rPr>
          <w:rFonts w:ascii="Times New Roman" w:hAnsi="Times New Roman" w:cs="Times New Roman"/>
          <w:sz w:val="24"/>
          <w:szCs w:val="24"/>
        </w:rPr>
        <w:t xml:space="preserve"> Intimidade e Vida Privada, já no piso da entrada, e onde agora nos vamos deter.</w:t>
      </w:r>
    </w:p>
    <w:p w:rsidR="004A5CF9" w:rsidRDefault="004A5CF9" w:rsidP="00A53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sala possui uma dupla-chave de acesso, sintetizada numa expressão romana que perdurou até aos nossos dias e patente numa p</w:t>
      </w:r>
      <w:r w:rsidR="00E33D30">
        <w:rPr>
          <w:rFonts w:ascii="Times New Roman" w:hAnsi="Times New Roman" w:cs="Times New Roman"/>
          <w:sz w:val="24"/>
          <w:szCs w:val="24"/>
        </w:rPr>
        <w:t>ergunta retórica: é para a da</w:t>
      </w:r>
      <w:r>
        <w:rPr>
          <w:rFonts w:ascii="Times New Roman" w:hAnsi="Times New Roman" w:cs="Times New Roman"/>
          <w:sz w:val="24"/>
          <w:szCs w:val="24"/>
        </w:rPr>
        <w:t xml:space="preserve"> sala da Intimidade e Vida Privada que vos chamaria a atençã</w:t>
      </w:r>
      <w:r w:rsidR="006564ED">
        <w:rPr>
          <w:rFonts w:ascii="Times New Roman" w:hAnsi="Times New Roman" w:cs="Times New Roman"/>
          <w:sz w:val="24"/>
          <w:szCs w:val="24"/>
        </w:rPr>
        <w:t>o. Dupla-chave: expressão – “À M</w:t>
      </w:r>
      <w:r>
        <w:rPr>
          <w:rFonts w:ascii="Times New Roman" w:hAnsi="Times New Roman" w:cs="Times New Roman"/>
          <w:sz w:val="24"/>
          <w:szCs w:val="24"/>
        </w:rPr>
        <w:t>ulher de César não basta ser, terá que parecer”</w:t>
      </w:r>
      <w:r w:rsidR="00E33D30">
        <w:rPr>
          <w:rFonts w:ascii="Times New Roman" w:hAnsi="Times New Roman" w:cs="Times New Roman"/>
          <w:sz w:val="24"/>
          <w:szCs w:val="24"/>
        </w:rPr>
        <w:t xml:space="preserve"> e pergunta “Sabias que? competia ao pai de família decidir se aceitava, ou não, as crianças recém-nascidas?” Entretanto, no chão do primeiro espaço desta sala</w:t>
      </w:r>
      <w:r w:rsidR="00020D25">
        <w:rPr>
          <w:rFonts w:ascii="Times New Roman" w:hAnsi="Times New Roman" w:cs="Times New Roman"/>
          <w:sz w:val="24"/>
          <w:szCs w:val="24"/>
        </w:rPr>
        <w:t xml:space="preserve"> dispõe-se uma réplica de mosaico, no caso, Labirinto do Minotauro, aliás, cujo original pode precisamente admirar-se nas Ruínas de Conímbriga. A partir da dupla-chave e do Labirinto do Minotauro gostaria de vos colocar perante um </w:t>
      </w:r>
      <w:r w:rsidR="00020D25">
        <w:rPr>
          <w:rFonts w:ascii="Times New Roman" w:hAnsi="Times New Roman" w:cs="Times New Roman"/>
          <w:sz w:val="24"/>
          <w:szCs w:val="24"/>
        </w:rPr>
        <w:lastRenderedPageBreak/>
        <w:t xml:space="preserve">dilema concreto. Segundo </w:t>
      </w:r>
      <w:r w:rsidR="00077B75">
        <w:rPr>
          <w:rFonts w:ascii="Times New Roman" w:hAnsi="Times New Roman" w:cs="Times New Roman"/>
          <w:sz w:val="24"/>
          <w:szCs w:val="24"/>
        </w:rPr>
        <w:t xml:space="preserve">o que </w:t>
      </w:r>
      <w:r w:rsidR="00020D25">
        <w:rPr>
          <w:rFonts w:ascii="Times New Roman" w:hAnsi="Times New Roman" w:cs="Times New Roman"/>
          <w:sz w:val="24"/>
          <w:szCs w:val="24"/>
        </w:rPr>
        <w:t xml:space="preserve">Giorgio </w:t>
      </w:r>
      <w:proofErr w:type="spellStart"/>
      <w:r w:rsidR="00020D25">
        <w:rPr>
          <w:rFonts w:ascii="Times New Roman" w:hAnsi="Times New Roman" w:cs="Times New Roman"/>
          <w:sz w:val="24"/>
          <w:szCs w:val="24"/>
        </w:rPr>
        <w:t>Colli</w:t>
      </w:r>
      <w:proofErr w:type="spellEnd"/>
      <w:r w:rsidR="00077B75">
        <w:rPr>
          <w:rFonts w:ascii="Times New Roman" w:hAnsi="Times New Roman" w:cs="Times New Roman"/>
          <w:sz w:val="24"/>
          <w:szCs w:val="24"/>
        </w:rPr>
        <w:t xml:space="preserve"> nos transmite em </w:t>
      </w:r>
      <w:r w:rsidR="00077B75" w:rsidRPr="00077B75">
        <w:rPr>
          <w:rFonts w:ascii="Times New Roman" w:hAnsi="Times New Roman" w:cs="Times New Roman"/>
          <w:i/>
          <w:sz w:val="24"/>
          <w:szCs w:val="24"/>
        </w:rPr>
        <w:t>O Nascimento da Filosofia</w:t>
      </w:r>
      <w:r w:rsidR="00077B75">
        <w:rPr>
          <w:rFonts w:ascii="Times New Roman" w:hAnsi="Times New Roman" w:cs="Times New Roman"/>
          <w:sz w:val="24"/>
          <w:szCs w:val="24"/>
        </w:rPr>
        <w:t xml:space="preserve"> e ancorado num fragmento que resgata a</w:t>
      </w:r>
      <w:r w:rsidR="006564ED">
        <w:rPr>
          <w:rFonts w:ascii="Times New Roman" w:hAnsi="Times New Roman" w:cs="Times New Roman"/>
          <w:sz w:val="24"/>
          <w:szCs w:val="24"/>
        </w:rPr>
        <w:t xml:space="preserve"> Platão, o mito do Labirinto </w:t>
      </w:r>
      <w:r w:rsidR="00077B75">
        <w:rPr>
          <w:rFonts w:ascii="Times New Roman" w:hAnsi="Times New Roman" w:cs="Times New Roman"/>
          <w:sz w:val="24"/>
          <w:szCs w:val="24"/>
        </w:rPr>
        <w:t xml:space="preserve">trata de uma questão dilemática no que respeita a complexo jogo racional; creio que se nos ativermos à dupla-chave enunciada estaremos perante algo semelhante. </w:t>
      </w:r>
      <w:r w:rsidR="009137FE">
        <w:rPr>
          <w:rFonts w:ascii="Times New Roman" w:hAnsi="Times New Roman" w:cs="Times New Roman"/>
          <w:sz w:val="24"/>
          <w:szCs w:val="24"/>
        </w:rPr>
        <w:t>Assim: por um lado, o poder paternal (</w:t>
      </w:r>
      <w:proofErr w:type="spellStart"/>
      <w:r w:rsidR="009137FE" w:rsidRPr="00A8584A">
        <w:rPr>
          <w:rFonts w:ascii="Times New Roman" w:hAnsi="Times New Roman" w:cs="Times New Roman"/>
          <w:i/>
          <w:sz w:val="24"/>
          <w:szCs w:val="24"/>
        </w:rPr>
        <w:t>patria</w:t>
      </w:r>
      <w:proofErr w:type="spellEnd"/>
      <w:r w:rsidR="009137FE" w:rsidRPr="00A85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37FE" w:rsidRPr="00A8584A">
        <w:rPr>
          <w:rFonts w:ascii="Times New Roman" w:hAnsi="Times New Roman" w:cs="Times New Roman"/>
          <w:i/>
          <w:sz w:val="24"/>
          <w:szCs w:val="24"/>
        </w:rPr>
        <w:t>potestas</w:t>
      </w:r>
      <w:proofErr w:type="spellEnd"/>
      <w:r w:rsidR="009137FE">
        <w:rPr>
          <w:rFonts w:ascii="Times New Roman" w:hAnsi="Times New Roman" w:cs="Times New Roman"/>
          <w:sz w:val="24"/>
          <w:szCs w:val="24"/>
        </w:rPr>
        <w:t xml:space="preserve">) enunciado na sua capacidade de decidir sobre a vida do/as que nasciam; por outro lado, </w:t>
      </w:r>
      <w:r w:rsidR="00A8584A">
        <w:rPr>
          <w:rFonts w:ascii="Times New Roman" w:hAnsi="Times New Roman" w:cs="Times New Roman"/>
          <w:sz w:val="24"/>
          <w:szCs w:val="24"/>
        </w:rPr>
        <w:t>a exposição pública do feminino</w:t>
      </w:r>
      <w:r w:rsidR="006564ED">
        <w:rPr>
          <w:rFonts w:ascii="Times New Roman" w:hAnsi="Times New Roman" w:cs="Times New Roman"/>
          <w:sz w:val="24"/>
          <w:szCs w:val="24"/>
        </w:rPr>
        <w:t>, personificada pela</w:t>
      </w:r>
      <w:r w:rsidR="00A8584A">
        <w:rPr>
          <w:rFonts w:ascii="Times New Roman" w:hAnsi="Times New Roman" w:cs="Times New Roman"/>
          <w:sz w:val="24"/>
          <w:szCs w:val="24"/>
        </w:rPr>
        <w:t xml:space="preserve"> mulher de César. </w:t>
      </w:r>
      <w:r w:rsidR="006564ED">
        <w:rPr>
          <w:rFonts w:ascii="Times New Roman" w:hAnsi="Times New Roman" w:cs="Times New Roman"/>
          <w:sz w:val="24"/>
          <w:szCs w:val="24"/>
        </w:rPr>
        <w:t xml:space="preserve">Ou seja, sendo o homem ancestralmente associado à esfera pública e a mulher à do mundo privado, aqui se deixa </w:t>
      </w:r>
      <w:r w:rsidR="003216E3">
        <w:rPr>
          <w:rFonts w:ascii="Times New Roman" w:hAnsi="Times New Roman" w:cs="Times New Roman"/>
          <w:sz w:val="24"/>
          <w:szCs w:val="24"/>
        </w:rPr>
        <w:t xml:space="preserve">enunciado </w:t>
      </w:r>
      <w:r w:rsidR="006564ED">
        <w:rPr>
          <w:rFonts w:ascii="Times New Roman" w:hAnsi="Times New Roman" w:cs="Times New Roman"/>
          <w:sz w:val="24"/>
          <w:szCs w:val="24"/>
        </w:rPr>
        <w:t>que o pai de família (</w:t>
      </w:r>
      <w:proofErr w:type="spellStart"/>
      <w:r w:rsidR="00A528FE">
        <w:rPr>
          <w:rFonts w:ascii="Times New Roman" w:hAnsi="Times New Roman" w:cs="Times New Roman"/>
          <w:i/>
          <w:sz w:val="24"/>
          <w:szCs w:val="24"/>
        </w:rPr>
        <w:t>pater</w:t>
      </w:r>
      <w:proofErr w:type="spellEnd"/>
      <w:r w:rsidR="00A528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28FE">
        <w:rPr>
          <w:rFonts w:ascii="Times New Roman" w:hAnsi="Times New Roman" w:cs="Times New Roman"/>
          <w:i/>
          <w:sz w:val="24"/>
          <w:szCs w:val="24"/>
        </w:rPr>
        <w:t>fami</w:t>
      </w:r>
      <w:r w:rsidR="006564ED" w:rsidRPr="006564ED">
        <w:rPr>
          <w:rFonts w:ascii="Times New Roman" w:hAnsi="Times New Roman" w:cs="Times New Roman"/>
          <w:i/>
          <w:sz w:val="24"/>
          <w:szCs w:val="24"/>
        </w:rPr>
        <w:t>lias</w:t>
      </w:r>
      <w:proofErr w:type="spellEnd"/>
      <w:r w:rsidR="006564ED">
        <w:rPr>
          <w:rFonts w:ascii="Times New Roman" w:hAnsi="Times New Roman" w:cs="Times New Roman"/>
          <w:sz w:val="24"/>
          <w:szCs w:val="24"/>
        </w:rPr>
        <w:t xml:space="preserve">) era figura central e omnipotente; todavia, e simbolicamente, a sua imagem pública, encarnada em César, necessitava da confirmação de todo um teatro social em que a mulher era crucial. Por tal, conclui-se que a mulher esteve, desde pelo menos o Império Romano, radicalmente exposta em termos públicos, mormente fragilizada na sua capacidade </w:t>
      </w:r>
      <w:r w:rsidR="003216E3">
        <w:rPr>
          <w:rFonts w:ascii="Times New Roman" w:hAnsi="Times New Roman" w:cs="Times New Roman"/>
          <w:sz w:val="24"/>
          <w:szCs w:val="24"/>
        </w:rPr>
        <w:t xml:space="preserve">de decisão. </w:t>
      </w:r>
    </w:p>
    <w:p w:rsidR="003216E3" w:rsidRDefault="003216E3" w:rsidP="00D639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PO.RO.S – Museu Portugal Romano em Sicó foi reconhecido há bem pouco tempo com o Prémio </w:t>
      </w:r>
      <w:proofErr w:type="spellStart"/>
      <w:r w:rsidRPr="004517D5">
        <w:rPr>
          <w:rFonts w:ascii="Times New Roman" w:hAnsi="Times New Roman" w:cs="Times New Roman"/>
          <w:i/>
          <w:sz w:val="24"/>
          <w:szCs w:val="24"/>
        </w:rPr>
        <w:t>Heritage</w:t>
      </w:r>
      <w:proofErr w:type="spellEnd"/>
      <w:r w:rsidRPr="004517D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517D5">
        <w:rPr>
          <w:rFonts w:ascii="Times New Roman" w:hAnsi="Times New Roman" w:cs="Times New Roman"/>
          <w:i/>
          <w:sz w:val="24"/>
          <w:szCs w:val="24"/>
        </w:rPr>
        <w:t>Motion</w:t>
      </w:r>
      <w:proofErr w:type="spellEnd"/>
      <w:r w:rsidR="004517D5">
        <w:rPr>
          <w:rFonts w:ascii="Times New Roman" w:hAnsi="Times New Roman" w:cs="Times New Roman"/>
          <w:sz w:val="24"/>
          <w:szCs w:val="24"/>
        </w:rPr>
        <w:t>, o que reforça o arrojo do se</w:t>
      </w:r>
      <w:r w:rsidR="00A528FE">
        <w:rPr>
          <w:rFonts w:ascii="Times New Roman" w:hAnsi="Times New Roman" w:cs="Times New Roman"/>
          <w:sz w:val="24"/>
          <w:szCs w:val="24"/>
        </w:rPr>
        <w:t xml:space="preserve">u plano museográfico. Está, portanto, </w:t>
      </w:r>
      <w:r w:rsidR="004517D5">
        <w:rPr>
          <w:rFonts w:ascii="Times New Roman" w:hAnsi="Times New Roman" w:cs="Times New Roman"/>
          <w:sz w:val="24"/>
          <w:szCs w:val="24"/>
        </w:rPr>
        <w:t xml:space="preserve">construído no que em tempos foi a Quinta de São Tomé, lugar estratégico da Vila de Condeixa, preservando as linhas </w:t>
      </w:r>
      <w:proofErr w:type="spellStart"/>
      <w:r w:rsidR="004517D5">
        <w:rPr>
          <w:rFonts w:ascii="Times New Roman" w:hAnsi="Times New Roman" w:cs="Times New Roman"/>
          <w:sz w:val="24"/>
          <w:szCs w:val="24"/>
        </w:rPr>
        <w:t>arquitectónicas</w:t>
      </w:r>
      <w:proofErr w:type="spellEnd"/>
      <w:r w:rsidR="004517D5">
        <w:rPr>
          <w:rFonts w:ascii="Times New Roman" w:hAnsi="Times New Roman" w:cs="Times New Roman"/>
          <w:sz w:val="24"/>
          <w:szCs w:val="24"/>
        </w:rPr>
        <w:t xml:space="preserve"> que vêm da feição que o século XIX imprimiu ao </w:t>
      </w:r>
      <w:r w:rsidR="002C6AE2">
        <w:rPr>
          <w:rFonts w:ascii="Times New Roman" w:hAnsi="Times New Roman" w:cs="Times New Roman"/>
          <w:sz w:val="24"/>
          <w:szCs w:val="24"/>
        </w:rPr>
        <w:t>edifício, embora a primeira construção remonte ao século XVI, mas de que não restam vestígios.</w:t>
      </w:r>
      <w:r w:rsidR="00A528FE">
        <w:rPr>
          <w:rFonts w:ascii="Times New Roman" w:hAnsi="Times New Roman" w:cs="Times New Roman"/>
          <w:sz w:val="24"/>
          <w:szCs w:val="24"/>
        </w:rPr>
        <w:t xml:space="preserve"> Na Quinta de São Tomé existiram moinhos de água, uns dos muitos que em tempos enxamearam a Vila: Condeixa é conhecida pela abundância de água e vegetação frondosa, sendo que no dealbar do século XX eram vários os pintores que se instalavam aqui para fixar em paisagem </w:t>
      </w:r>
      <w:r w:rsidR="00DE6389">
        <w:rPr>
          <w:rFonts w:ascii="Times New Roman" w:hAnsi="Times New Roman" w:cs="Times New Roman"/>
          <w:sz w:val="24"/>
          <w:szCs w:val="24"/>
        </w:rPr>
        <w:t>de tintas o que olhos alcançavam, e a mão traduzia. A revolução urbanística que conheceu nos últimos anos circunscreveu os “espaços verdes”, mas não lhe retirou o riso faiscante do “pôr-do-sol”.</w:t>
      </w:r>
    </w:p>
    <w:p w:rsidR="003216E3" w:rsidRDefault="003216E3" w:rsidP="00321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6E3" w:rsidRDefault="003216E3" w:rsidP="000E1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48D" w:rsidRDefault="00A528FE" w:rsidP="00A5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Cláudia Ferreira </w:t>
      </w:r>
      <w:r w:rsidR="00FA3A7D">
        <w:rPr>
          <w:rFonts w:ascii="Times New Roman" w:hAnsi="Times New Roman" w:cs="Times New Roman"/>
          <w:sz w:val="24"/>
          <w:szCs w:val="24"/>
        </w:rPr>
        <w:t>(historiadora)</w:t>
      </w:r>
      <w:bookmarkStart w:id="0" w:name="_GoBack"/>
      <w:bookmarkEnd w:id="0"/>
    </w:p>
    <w:p w:rsidR="00A528FE" w:rsidRDefault="00A528FE" w:rsidP="00A5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8FE" w:rsidRPr="000E148D" w:rsidRDefault="00A528FE" w:rsidP="00A5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na Imprensa Regional</w:t>
      </w:r>
      <w:r w:rsidR="00D63960">
        <w:rPr>
          <w:rFonts w:ascii="Times New Roman" w:hAnsi="Times New Roman" w:cs="Times New Roman"/>
          <w:sz w:val="24"/>
          <w:szCs w:val="24"/>
        </w:rPr>
        <w:t xml:space="preserve"> – Ciência Viva</w:t>
      </w:r>
    </w:p>
    <w:sectPr w:rsidR="00A528FE" w:rsidRPr="000E1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8D"/>
    <w:rsid w:val="00020D25"/>
    <w:rsid w:val="00077B75"/>
    <w:rsid w:val="000E148D"/>
    <w:rsid w:val="002C6AE2"/>
    <w:rsid w:val="003216E3"/>
    <w:rsid w:val="004517D5"/>
    <w:rsid w:val="004A5CF9"/>
    <w:rsid w:val="00601B77"/>
    <w:rsid w:val="006564ED"/>
    <w:rsid w:val="00850A3B"/>
    <w:rsid w:val="008B7F03"/>
    <w:rsid w:val="009137FE"/>
    <w:rsid w:val="00A50CD9"/>
    <w:rsid w:val="00A528FE"/>
    <w:rsid w:val="00A53929"/>
    <w:rsid w:val="00A8584A"/>
    <w:rsid w:val="00D63960"/>
    <w:rsid w:val="00D909AE"/>
    <w:rsid w:val="00D967FF"/>
    <w:rsid w:val="00DE6389"/>
    <w:rsid w:val="00E15620"/>
    <w:rsid w:val="00E15649"/>
    <w:rsid w:val="00E33D30"/>
    <w:rsid w:val="00F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18A5"/>
  <w15:chartTrackingRefBased/>
  <w15:docId w15:val="{30FB8C67-4AE5-496D-82CB-7B6B26C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Tecnicos</dc:creator>
  <cp:keywords/>
  <dc:description/>
  <cp:lastModifiedBy>António Piedade</cp:lastModifiedBy>
  <cp:revision>12</cp:revision>
  <dcterms:created xsi:type="dcterms:W3CDTF">2019-03-03T11:01:00Z</dcterms:created>
  <dcterms:modified xsi:type="dcterms:W3CDTF">2019-03-04T17:14:00Z</dcterms:modified>
</cp:coreProperties>
</file>