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BE9E8" w14:textId="29C41F4C" w:rsidR="008019F2" w:rsidRPr="008019F2" w:rsidRDefault="008019F2" w:rsidP="008019F2">
      <w:pPr>
        <w:shd w:val="clear" w:color="auto" w:fill="FFFFFF"/>
        <w:spacing w:after="0" w:line="488" w:lineRule="atLeast"/>
        <w:outlineLvl w:val="0"/>
        <w:rPr>
          <w:rFonts w:eastAsia="Times New Roman" w:cstheme="minorHAnsi"/>
          <w:b/>
          <w:bCs/>
          <w:color w:val="202020"/>
          <w:kern w:val="36"/>
          <w:sz w:val="32"/>
          <w:szCs w:val="32"/>
          <w:lang w:val="pt-PT" w:eastAsia="pt-PT"/>
        </w:rPr>
      </w:pPr>
      <w:r w:rsidRPr="008019F2">
        <w:rPr>
          <w:rFonts w:eastAsia="Times New Roman" w:cstheme="minorHAnsi"/>
          <w:b/>
          <w:bCs/>
          <w:color w:val="202020"/>
          <w:kern w:val="36"/>
          <w:sz w:val="32"/>
          <w:szCs w:val="32"/>
          <w:lang w:val="pt-PT" w:eastAsia="pt-PT"/>
        </w:rPr>
        <w:t>Quanta água e alimentos precisamos até 2050?</w:t>
      </w:r>
    </w:p>
    <w:p w14:paraId="663FC05E" w14:textId="77777777" w:rsidR="008019F2" w:rsidRPr="008019F2" w:rsidRDefault="008019F2" w:rsidP="008019F2">
      <w:pPr>
        <w:shd w:val="clear" w:color="auto" w:fill="FFFFFF"/>
        <w:spacing w:after="0" w:line="488" w:lineRule="atLeast"/>
        <w:outlineLvl w:val="0"/>
        <w:rPr>
          <w:rFonts w:eastAsia="Times New Roman" w:cstheme="minorHAnsi"/>
          <w:b/>
          <w:bCs/>
          <w:color w:val="202020"/>
          <w:kern w:val="36"/>
          <w:sz w:val="28"/>
          <w:szCs w:val="28"/>
          <w:lang w:val="pt-PT" w:eastAsia="pt-PT"/>
        </w:rPr>
      </w:pPr>
    </w:p>
    <w:p w14:paraId="6BB368E1" w14:textId="5E196F1A" w:rsidR="008019F2" w:rsidRPr="008019F2" w:rsidRDefault="008019F2" w:rsidP="008019F2">
      <w:pPr>
        <w:shd w:val="clear" w:color="auto" w:fill="FFFFFF"/>
        <w:spacing w:after="0" w:line="488" w:lineRule="atLeast"/>
        <w:outlineLvl w:val="0"/>
        <w:rPr>
          <w:rFonts w:eastAsia="Times New Roman" w:cstheme="minorHAnsi"/>
          <w:b/>
          <w:bCs/>
          <w:color w:val="202020"/>
          <w:kern w:val="36"/>
          <w:sz w:val="28"/>
          <w:szCs w:val="28"/>
          <w:lang w:val="pt-PT" w:eastAsia="pt-PT"/>
        </w:rPr>
      </w:pPr>
      <w:r w:rsidRPr="008019F2">
        <w:rPr>
          <w:rFonts w:eastAsia="Times New Roman" w:cstheme="minorHAnsi"/>
          <w:b/>
          <w:bCs/>
          <w:color w:val="202020"/>
          <w:kern w:val="36"/>
          <w:sz w:val="28"/>
          <w:szCs w:val="28"/>
          <w:lang w:val="pt-PT" w:eastAsia="pt-PT"/>
        </w:rPr>
        <w:t>Novo estudo avalia necessidades globais de água e alimentos até 2050 para garantir futuro sustentável</w:t>
      </w:r>
      <w:r>
        <w:rPr>
          <w:rFonts w:eastAsia="Times New Roman" w:cstheme="minorHAnsi"/>
          <w:b/>
          <w:bCs/>
          <w:color w:val="202020"/>
          <w:kern w:val="36"/>
          <w:sz w:val="28"/>
          <w:szCs w:val="28"/>
          <w:lang w:val="pt-PT" w:eastAsia="pt-PT"/>
        </w:rPr>
        <w:t>.</w:t>
      </w:r>
    </w:p>
    <w:p w14:paraId="62288CE6" w14:textId="63F1616D" w:rsidR="002C2BE2" w:rsidRDefault="002C2BE2">
      <w:pPr>
        <w:rPr>
          <w:lang w:val="pt-PT"/>
        </w:rPr>
      </w:pPr>
    </w:p>
    <w:p w14:paraId="3E3382FE" w14:textId="59350F6E" w:rsidR="008019F2" w:rsidRDefault="008019F2">
      <w:pPr>
        <w:rPr>
          <w:lang w:val="pt-PT"/>
        </w:rPr>
      </w:pPr>
    </w:p>
    <w:p w14:paraId="1B472B2D" w14:textId="77777777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 xml:space="preserve">Um novo estudo agora publicado na revista </w:t>
      </w:r>
      <w:proofErr w:type="spellStart"/>
      <w:r w:rsidRPr="008019F2">
        <w:rPr>
          <w:sz w:val="24"/>
          <w:szCs w:val="24"/>
          <w:lang w:val="pt-PT"/>
        </w:rPr>
        <w:t>Nature</w:t>
      </w:r>
      <w:proofErr w:type="spellEnd"/>
      <w:r w:rsidRPr="008019F2">
        <w:rPr>
          <w:sz w:val="24"/>
          <w:szCs w:val="24"/>
          <w:lang w:val="pt-PT"/>
        </w:rPr>
        <w:t xml:space="preserve"> </w:t>
      </w:r>
      <w:proofErr w:type="spellStart"/>
      <w:r w:rsidRPr="008019F2">
        <w:rPr>
          <w:sz w:val="24"/>
          <w:szCs w:val="24"/>
          <w:lang w:val="pt-PT"/>
        </w:rPr>
        <w:t>Sustainability</w:t>
      </w:r>
      <w:proofErr w:type="spellEnd"/>
      <w:r w:rsidRPr="008019F2">
        <w:rPr>
          <w:sz w:val="24"/>
          <w:szCs w:val="24"/>
          <w:lang w:val="pt-PT"/>
        </w:rPr>
        <w:t xml:space="preserve"> apresenta uma nova avaliação integradora das necessidades globais de água e alimentos até 2050, tendo em conta o aumento da população mundial e a proteção dos ecossistemas aquáticos. Os resultados indicam que, para corresponder de forma sustentável à procura crescente de alimentos, será necessário redistribuir culturas agrícolas a nível regional, </w:t>
      </w:r>
      <w:proofErr w:type="spellStart"/>
      <w:r w:rsidRPr="008019F2">
        <w:rPr>
          <w:sz w:val="24"/>
          <w:szCs w:val="24"/>
          <w:lang w:val="pt-PT"/>
        </w:rPr>
        <w:t>adoptar</w:t>
      </w:r>
      <w:proofErr w:type="spellEnd"/>
      <w:r w:rsidRPr="008019F2">
        <w:rPr>
          <w:sz w:val="24"/>
          <w:szCs w:val="24"/>
          <w:lang w:val="pt-PT"/>
        </w:rPr>
        <w:t xml:space="preserve"> práticas agrícolas mais sustentáveis e aumentar o comércio internacional de alimentos.</w:t>
      </w:r>
    </w:p>
    <w:p w14:paraId="61570128" w14:textId="77777777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 xml:space="preserve">Os recursos globais de água doce estão sob crescente pressão. Atualmente, cerca de 70% da água doce a nível global é utilizada para culturas agrícolas irrigadas, que asseguram cerca de 40% dos alimentos a nível mundial. As Nações Unidas </w:t>
      </w:r>
      <w:proofErr w:type="spellStart"/>
      <w:r w:rsidRPr="008019F2">
        <w:rPr>
          <w:sz w:val="24"/>
          <w:szCs w:val="24"/>
          <w:lang w:val="pt-PT"/>
        </w:rPr>
        <w:t>prevêem</w:t>
      </w:r>
      <w:proofErr w:type="spellEnd"/>
      <w:r w:rsidRPr="008019F2">
        <w:rPr>
          <w:sz w:val="24"/>
          <w:szCs w:val="24"/>
          <w:lang w:val="pt-PT"/>
        </w:rPr>
        <w:t xml:space="preserve"> que a população mundial alcance os 9 mil milhões de pessoas até 2050, o que irá aumentar a pressão sobre a necessidade de água no futuro.</w:t>
      </w:r>
    </w:p>
    <w:p w14:paraId="25A2E897" w14:textId="4E001096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>No trabalho agora publicado, os investigadores desenvolveram uma nova avaliação integrada das necessidades globais de alimentos e água até 2050, e de como estes recursos limitados se relacionam entre si, com o objetivo de perceber de que forma devem ser geridos os recursos hídricos tendo em conta as necessidades humanas e os requisitos dos ecossistemas de forma a garantir um futuro sustentável.</w:t>
      </w:r>
    </w:p>
    <w:p w14:paraId="228578CC" w14:textId="7273FDD2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 xml:space="preserve">“Os resultados revelam que, para produzir a nossa alimentação de forma sustentável e respeitando as necessidades ambientais, será necessário expandir a área de terra utilizada para agricultura em 100 milhões de hectares – aproximadamente 100 milhões de estádios de futebol – até 2050, de forma a corresponder às necessidades de alimento tendo em conta o aumento da população mundial. Para que tal seja possível, tendo em conta os recursos hídricos limitados, será necessário reduzir as culturas intensivas em áreas secas e redistribuir a produção agrícola de alimentos em regiões abundantes em água”, explica </w:t>
      </w:r>
      <w:proofErr w:type="spellStart"/>
      <w:r w:rsidRPr="008019F2">
        <w:rPr>
          <w:sz w:val="24"/>
          <w:szCs w:val="24"/>
          <w:lang w:val="pt-PT"/>
        </w:rPr>
        <w:t>Amandine</w:t>
      </w:r>
      <w:proofErr w:type="spellEnd"/>
      <w:r w:rsidRPr="008019F2">
        <w:rPr>
          <w:sz w:val="24"/>
          <w:szCs w:val="24"/>
          <w:lang w:val="pt-PT"/>
        </w:rPr>
        <w:t xml:space="preserve"> Pastor, colaboradora do Centro de Ecologia, </w:t>
      </w:r>
      <w:r w:rsidRPr="008019F2">
        <w:rPr>
          <w:sz w:val="24"/>
          <w:szCs w:val="24"/>
          <w:lang w:val="pt-PT"/>
        </w:rPr>
        <w:lastRenderedPageBreak/>
        <w:t xml:space="preserve">Evolução e Alterações Ambientais – cE3c, na Faculdade de Ciências da Universidade de Lisboa, e primeira autora deste estudo. </w:t>
      </w:r>
      <w:proofErr w:type="spellStart"/>
      <w:r w:rsidRPr="008019F2">
        <w:rPr>
          <w:sz w:val="24"/>
          <w:szCs w:val="24"/>
          <w:lang w:val="pt-PT"/>
        </w:rPr>
        <w:t>Amandine</w:t>
      </w:r>
      <w:proofErr w:type="spellEnd"/>
      <w:r w:rsidRPr="008019F2">
        <w:rPr>
          <w:sz w:val="24"/>
          <w:szCs w:val="24"/>
          <w:lang w:val="pt-PT"/>
        </w:rPr>
        <w:t xml:space="preserve"> Pastor é também investigadora do Instituto de Investigação para o Desenvolvimento (IRD), em França.</w:t>
      </w:r>
    </w:p>
    <w:p w14:paraId="17F7560E" w14:textId="1718476D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>Esta é uma das primeiras avaliações integradoras que quantifica de forma rigorosa o efeito da proteção dos ecossistemas aquáticos nas captações de água, na produção global de alimentos e nos fluxos comerciais: os resultados do estudo indicam que será necessário um fluxo adicional de 10% a 20% de comércio desde regiões abundantes em água para regiões com escassez de água a fim de respeitar as regulações ambientais que asseguram a saúde dos ecossistemas – sendo que os principais fluxos comerciais vão da América Latina para o Médio Oriente e China.</w:t>
      </w:r>
    </w:p>
    <w:p w14:paraId="3AC26239" w14:textId="54B5D5E0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>Para este estudo, os investigadores utilizaram cenários de mudanças climáticas e cenários de mudanças socioeconómicas desenvolvidos pela comunidade científica para o Painel Intergovernamental para as Alterações Climáticas (IPCC) e compilaram vários conjuntos de dados, incluindo dados sobre restrição do uso de água de forma a respeitar os requisitos de conservação dos ecossistemas de água doce.</w:t>
      </w:r>
    </w:p>
    <w:p w14:paraId="5F8A6B9E" w14:textId="67F2C60A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 xml:space="preserve">“É importante perceber que os recursos naturais são limitados. Os resultados do nosso estudo indicam que será possível manter a segurança alimentar e os requisitos de conservação dos ecossistemas de água doce até 2050, apesar da crescente poluição e dos crescentes impactos das mudanças climáticas. Mas, para que isso seja possível, devem ser </w:t>
      </w:r>
      <w:proofErr w:type="spellStart"/>
      <w:r w:rsidRPr="008019F2">
        <w:rPr>
          <w:sz w:val="24"/>
          <w:szCs w:val="24"/>
          <w:lang w:val="pt-PT"/>
        </w:rPr>
        <w:t>ado</w:t>
      </w:r>
      <w:r w:rsidR="001E1B19">
        <w:rPr>
          <w:sz w:val="24"/>
          <w:szCs w:val="24"/>
          <w:lang w:val="pt-PT"/>
        </w:rPr>
        <w:t>p</w:t>
      </w:r>
      <w:r w:rsidRPr="008019F2">
        <w:rPr>
          <w:sz w:val="24"/>
          <w:szCs w:val="24"/>
          <w:lang w:val="pt-PT"/>
        </w:rPr>
        <w:t>tadas</w:t>
      </w:r>
      <w:proofErr w:type="spellEnd"/>
      <w:r w:rsidRPr="008019F2">
        <w:rPr>
          <w:sz w:val="24"/>
          <w:szCs w:val="24"/>
          <w:lang w:val="pt-PT"/>
        </w:rPr>
        <w:t xml:space="preserve"> práticas sustentáveis e inovadoras, como cultivar em zonas </w:t>
      </w:r>
      <w:proofErr w:type="spellStart"/>
      <w:r w:rsidRPr="008019F2">
        <w:rPr>
          <w:sz w:val="24"/>
          <w:szCs w:val="24"/>
          <w:lang w:val="pt-PT"/>
        </w:rPr>
        <w:t>agro-climáticas</w:t>
      </w:r>
      <w:proofErr w:type="spellEnd"/>
      <w:r w:rsidRPr="008019F2">
        <w:rPr>
          <w:sz w:val="24"/>
          <w:szCs w:val="24"/>
          <w:lang w:val="pt-PT"/>
        </w:rPr>
        <w:t xml:space="preserve"> apropriadas – por exemplo, plantar culturas menos intensivas em água em áreas secas -, desenvolver a agricultura urbana e vertical e reduzir o consumo de carne na dieta humana”, conclui </w:t>
      </w:r>
      <w:proofErr w:type="spellStart"/>
      <w:r w:rsidRPr="008019F2">
        <w:rPr>
          <w:sz w:val="24"/>
          <w:szCs w:val="24"/>
          <w:lang w:val="pt-PT"/>
        </w:rPr>
        <w:t>Amandine</w:t>
      </w:r>
      <w:proofErr w:type="spellEnd"/>
      <w:r w:rsidRPr="008019F2">
        <w:rPr>
          <w:sz w:val="24"/>
          <w:szCs w:val="24"/>
          <w:lang w:val="pt-PT"/>
        </w:rPr>
        <w:t xml:space="preserve"> Pastor.</w:t>
      </w:r>
    </w:p>
    <w:p w14:paraId="5C4F8601" w14:textId="77777777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 xml:space="preserve"> </w:t>
      </w:r>
    </w:p>
    <w:p w14:paraId="71D4CCFF" w14:textId="77777777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>Referência do artigo:</w:t>
      </w:r>
    </w:p>
    <w:p w14:paraId="639DE1E6" w14:textId="4B42910C" w:rsidR="008019F2" w:rsidRPr="008019F2" w:rsidRDefault="008019F2" w:rsidP="008019F2">
      <w:pPr>
        <w:spacing w:after="0" w:line="360" w:lineRule="auto"/>
        <w:rPr>
          <w:sz w:val="24"/>
          <w:szCs w:val="24"/>
          <w:lang w:val="pt-PT"/>
        </w:rPr>
      </w:pPr>
      <w:r w:rsidRPr="008019F2">
        <w:rPr>
          <w:sz w:val="24"/>
          <w:szCs w:val="24"/>
        </w:rPr>
        <w:t xml:space="preserve">Pastor A.V. et al. (2019) The global nexus of food-trade-water sustaining environmental flows by 2050. </w:t>
      </w:r>
      <w:proofErr w:type="spellStart"/>
      <w:r w:rsidRPr="008019F2">
        <w:rPr>
          <w:sz w:val="24"/>
          <w:szCs w:val="24"/>
          <w:lang w:val="pt-PT"/>
        </w:rPr>
        <w:t>Nature</w:t>
      </w:r>
      <w:proofErr w:type="spellEnd"/>
      <w:r w:rsidRPr="008019F2">
        <w:rPr>
          <w:sz w:val="24"/>
          <w:szCs w:val="24"/>
          <w:lang w:val="pt-PT"/>
        </w:rPr>
        <w:t xml:space="preserve"> </w:t>
      </w:r>
      <w:proofErr w:type="spellStart"/>
      <w:r w:rsidRPr="008019F2">
        <w:rPr>
          <w:sz w:val="24"/>
          <w:szCs w:val="24"/>
          <w:lang w:val="pt-PT"/>
        </w:rPr>
        <w:t>Sustainability</w:t>
      </w:r>
      <w:proofErr w:type="spellEnd"/>
      <w:r w:rsidRPr="008019F2">
        <w:rPr>
          <w:sz w:val="24"/>
          <w:szCs w:val="24"/>
          <w:lang w:val="pt-PT"/>
        </w:rPr>
        <w:t xml:space="preserve">. Disponível aqui: </w:t>
      </w:r>
      <w:hyperlink r:id="rId4" w:history="1">
        <w:r w:rsidRPr="008019F2">
          <w:rPr>
            <w:rStyle w:val="Hiperligao"/>
            <w:sz w:val="24"/>
            <w:szCs w:val="24"/>
            <w:lang w:val="pt-PT"/>
          </w:rPr>
          <w:t>http://doi.org/10.1038/s41893-019-0287-1</w:t>
        </w:r>
      </w:hyperlink>
    </w:p>
    <w:p w14:paraId="07D0E5D4" w14:textId="53C35F90" w:rsidR="008019F2" w:rsidRDefault="008019F2" w:rsidP="008019F2">
      <w:pPr>
        <w:rPr>
          <w:lang w:val="pt-PT"/>
        </w:rPr>
      </w:pPr>
    </w:p>
    <w:p w14:paraId="0935E7DD" w14:textId="27D79648" w:rsidR="008019F2" w:rsidRDefault="001E1B19" w:rsidP="008019F2">
      <w:pPr>
        <w:rPr>
          <w:sz w:val="24"/>
          <w:szCs w:val="24"/>
          <w:lang w:val="pt-PT"/>
        </w:rPr>
      </w:pPr>
      <w:r w:rsidRPr="008019F2">
        <w:rPr>
          <w:sz w:val="24"/>
          <w:szCs w:val="24"/>
          <w:lang w:val="pt-PT"/>
        </w:rPr>
        <w:t>Centro de Ecologia, Evolução e Alterações Ambientais – cE3c</w:t>
      </w:r>
    </w:p>
    <w:p w14:paraId="14AD0DC5" w14:textId="7367D73F" w:rsidR="001E1B19" w:rsidRPr="008019F2" w:rsidRDefault="001E1B19" w:rsidP="008019F2">
      <w:pPr>
        <w:rPr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  <w:bookmarkStart w:id="0" w:name="_GoBack"/>
      <w:bookmarkEnd w:id="0"/>
    </w:p>
    <w:sectPr w:rsidR="001E1B19" w:rsidRPr="00801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D0"/>
    <w:rsid w:val="001E1B19"/>
    <w:rsid w:val="002C2BE2"/>
    <w:rsid w:val="008019F2"/>
    <w:rsid w:val="00B177D0"/>
    <w:rsid w:val="00C26C8F"/>
    <w:rsid w:val="00ED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7D3E"/>
  <w15:chartTrackingRefBased/>
  <w15:docId w15:val="{BE82AE69-603E-48A9-BF04-961D93E7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801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019F2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8019F2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8019F2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01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6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i.org/10.1038/s41893-019-0287-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669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2019-05-24T16:42:00Z</dcterms:created>
  <dcterms:modified xsi:type="dcterms:W3CDTF">2019-05-24T16:48:00Z</dcterms:modified>
</cp:coreProperties>
</file>