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O ciberterrorismo existe?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Autor: </w:t>
      </w:r>
      <w:r w:rsidRPr="00000000" w:rsidR="00000000" w:rsidDel="00000000">
        <w:rPr>
          <w:rFonts w:cs="Verdana" w:hAnsi="Verdana" w:eastAsia="Verdana" w:ascii="Verdana"/>
          <w:vertAlign w:val="superscript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highlight w:val="white"/>
          <w:rtl w:val="0"/>
        </w:rPr>
        <w:t xml:space="preserve">C</w:t>
      </w: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ERT.PT- Serviço de Resposta a Incidentes de Segurança Informática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O termo ciberterrorismo foi criado por Barry C. Collin, que o definiu como “a convergência entre terrorismo e ciberespaço” ou seja, o terrorismo no mundo virtual, onde “os programas de computador operam e a informação circula”. Dorothy Denning, em 2002, referiu-se ao ciberterrorismo como “o uso de ferramentas e técnicas de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hacking 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para infligir dano severo como a perda de vidas”. Ou seja, considera-se que existe um ataque ciberterrorista quando ele resulta em violência contra pessoas ou propriedade ou quando causa danos suficientes para provocar medo e, desta forma, alcançar objetivos políticos ou religiosos.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Apesar deste termo já ter feito capa em várias revistas e jornais de todo o mundo, não existem casos conhecidos ou comprovados que caibam na referida definição. E vemos confundidos, amiúde, os termos ciberterrorismo e cibercrime.</w:t>
      </w:r>
    </w:p>
    <w:p w:rsidP="00000000" w:rsidRPr="00000000" w:rsidR="00000000" w:rsidDel="00000000" w:rsidRDefault="00000000">
      <w:pPr>
        <w:spacing w:lineRule="auto" w:line="240"/>
        <w:contextualSpacing w:val="0"/>
      </w:pPr>
      <w:bookmarkStart w:id="0" w:colFirst="0" w:name="h.gjdgxs" w:colLast="0"/>
      <w:bookmarkEnd w:id="0"/>
      <w:r w:rsidRPr="00000000" w:rsidR="00000000" w:rsidDel="00000000">
        <w:rPr>
          <w:rFonts w:cs="Verdana" w:hAnsi="Verdana" w:eastAsia="Verdana" w:ascii="Verdana"/>
          <w:rtl w:val="0"/>
        </w:rPr>
        <w:t xml:space="preserve">Isto não quer dizer, no entanto, que a ameaça não exista. A pressão e os instrumentos criados pelas autoridades mundiais no pós-11 de Setembro para monitorização e combate ao terrorismo transnacional levou a que estas organizações alterassem de forma significativa o seu modelo de organização e procurassem outros meios para desenvolver as suas actividades. Exemplos disto são o recrutamento de simpatizantes nas redes sociais, a angariação de fundos pela Internet e, de forma mais visível, a propaganda feita no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YouTube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 e em serviços semelhantes.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A proteção contra este tipo de ameaça é uma responsabilidade partilhada. Os Estados, seja por intervenção legislativa, seja pela criação de instrumentos técnicos adequados, têm um papel importante quer na prevenção quer na preparação para a eventual resposta a uma emergência. Por outro lado, a segurança das redes e da informação passa, também, por uma utilização segura e consciente da tecnologia por parte dos indivíduos, em casa ou no trabalho, por um maior enfoque na componente de segurança dos seus produtos por parte dos fabricantes de equipamento e produtores de software e pela aplicação de metodologias de análise de risco e políticas de segurança da informação nas empresas.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color w:val="494949"/>
          <w:highlight w:val="white"/>
          <w:rtl w:val="0"/>
        </w:rPr>
        <w:t xml:space="preserve">Mês Europeu da Cibersegurança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Este artigo é da autoria de especialistas do CERT.PT- Serviço de Resposta a Incidentes de Segurança Informática (www.cert.pt) da FCCN-Fundação de Computação Científica Nacional (www.fccn.pt/pt) e insere-se na campanha "Uma dica por dia" integrada no Mês Europeu da Cibersegurança, que tem lugar em Outubro de 2013.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O Mês Europeu da Cibersegurança é uma iniciativa da ENISA - Agência Europeia para a Segurança das Redes e Informação (www.enisa.europa.eu) e o seu objectivo é informar os utilizadores sobre a importância da segurança da informação, bem como demonstrar algumas medidas simples para proteger os seus dados.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Nota aos editores da Imprensa regional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Os artigos da autoria dos técnicos do CERT.PT incluídos no </w:t>
      </w: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Mês Europeu da Cibersegurança, que tem lugar em Outubro de 2013</w:t>
      </w:r>
      <w:r w:rsidRPr="00000000" w:rsidR="00000000" w:rsidDel="00000000">
        <w:rPr>
          <w:rFonts w:cs="Verdana" w:hAnsi="Verdana" w:eastAsia="Verdana" w:ascii="Verdana"/>
          <w:color w:val="494949"/>
          <w:rtl w:val="0"/>
        </w:rPr>
        <w:t xml:space="preserve">, surgem no site da Ciência na Imprensa Regional numerados, de forma a permitir a sua mais fácil identificação. No entanto, eles são absolutamente independentes uns dos outros e podem ser publicados pelos órgãos de comunicação de forma avulsa.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------------------------------------------------------------------------------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Foto de xxx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(Existem ficheiros de imagem de mais alta resolução disponíveis para download)</w:t>
      </w:r>
    </w:p>
    <w:sectPr>
      <w:pgSz w:w="11906" w:h="16838"/>
      <w:pgMar w:left="1701" w:right="1701" w:top="1417" w:bottom="141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200" w:line="276" w:before="0"/>
      <w:ind w:left="0" w:firstLine="0" w:right="0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13-O ciberterrorismo existe-2078 c.docx</dc:title>
</cp:coreProperties>
</file>