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455E80" w:rsidRDefault="00AB777B">
      <w:pPr>
        <w:rPr>
          <w:rFonts w:eastAsia="Times New Roman"/>
          <w:b/>
          <w:color w:val="1A1A1A"/>
          <w:sz w:val="28"/>
          <w:szCs w:val="28"/>
          <w:lang w:eastAsia="pt-PT"/>
        </w:rPr>
      </w:pPr>
      <w:r w:rsidRPr="00455E80">
        <w:rPr>
          <w:rFonts w:eastAsia="Times New Roman"/>
          <w:b/>
          <w:color w:val="1A1A1A"/>
          <w:sz w:val="28"/>
          <w:szCs w:val="28"/>
          <w:lang w:eastAsia="pt-PT"/>
        </w:rPr>
        <w:t>Financiamento europeu a triplicar para biotecnologia da Universidade de Coimbra</w:t>
      </w:r>
    </w:p>
    <w:p w:rsidR="00AB777B" w:rsidRPr="00AB777B" w:rsidRDefault="00AB777B">
      <w:pPr>
        <w:rPr>
          <w:rFonts w:eastAsia="Times New Roman"/>
          <w:b/>
          <w:color w:val="1A1A1A"/>
          <w:sz w:val="24"/>
          <w:szCs w:val="24"/>
          <w:lang w:eastAsia="pt-PT"/>
        </w:rPr>
      </w:pPr>
    </w:p>
    <w:p w:rsidR="00AB777B" w:rsidRPr="0063074E" w:rsidRDefault="00AB777B" w:rsidP="00AB777B">
      <w:pPr>
        <w:spacing w:line="360" w:lineRule="auto"/>
        <w:jc w:val="both"/>
        <w:rPr>
          <w:rFonts w:eastAsia="Times New Roman"/>
          <w:color w:val="1A1A1A"/>
          <w:sz w:val="24"/>
          <w:szCs w:val="24"/>
          <w:lang w:eastAsia="pt-PT"/>
        </w:rPr>
      </w:pPr>
      <w:r w:rsidRPr="0063074E">
        <w:rPr>
          <w:rFonts w:eastAsia="Times New Roman"/>
          <w:color w:val="1A1A1A"/>
          <w:sz w:val="24"/>
          <w:szCs w:val="24"/>
          <w:lang w:eastAsia="pt-PT"/>
        </w:rPr>
        <w:t>O Centro de Neurociências e Biologia Celular (CNC) da Universidade de Coimbra (UC) conquistou três projetos europeus que trazem para Portugal 380 mil euros para investigação em fígado, cancro e nano-segurança.</w:t>
      </w:r>
    </w:p>
    <w:p w:rsidR="00AB777B" w:rsidRPr="0063074E" w:rsidRDefault="00AB777B" w:rsidP="0063074E">
      <w:pPr>
        <w:spacing w:line="360" w:lineRule="auto"/>
        <w:ind w:firstLine="708"/>
        <w:jc w:val="both"/>
        <w:rPr>
          <w:rFonts w:eastAsia="Times New Roman"/>
          <w:color w:val="1A1A1A"/>
          <w:sz w:val="24"/>
          <w:szCs w:val="24"/>
          <w:lang w:eastAsia="pt-PT"/>
        </w:rPr>
      </w:pPr>
    </w:p>
    <w:p w:rsidR="00AB777B" w:rsidRPr="0063074E" w:rsidRDefault="00AB777B" w:rsidP="00AB777B">
      <w:pPr>
        <w:spacing w:line="360" w:lineRule="auto"/>
        <w:jc w:val="both"/>
        <w:rPr>
          <w:rFonts w:eastAsia="Times New Roman"/>
          <w:color w:val="1A1A1A"/>
          <w:sz w:val="24"/>
          <w:szCs w:val="24"/>
          <w:lang w:eastAsia="pt-PT"/>
        </w:rPr>
      </w:pPr>
      <w:r w:rsidRPr="0063074E">
        <w:rPr>
          <w:rFonts w:eastAsia="Times New Roman"/>
          <w:color w:val="1A1A1A"/>
          <w:sz w:val="24"/>
          <w:szCs w:val="24"/>
          <w:lang w:eastAsia="pt-PT"/>
        </w:rPr>
        <w:t>O investigador Paulo Oliveira vai liderar um consórcio internacional “</w:t>
      </w:r>
      <w:proofErr w:type="spellStart"/>
      <w:r w:rsidRPr="0063074E">
        <w:rPr>
          <w:rFonts w:eastAsia="Times New Roman"/>
          <w:color w:val="1A1A1A"/>
          <w:sz w:val="24"/>
          <w:szCs w:val="24"/>
          <w:lang w:eastAsia="pt-PT"/>
        </w:rPr>
        <w:t>mtFOIEGRAS</w:t>
      </w:r>
      <w:proofErr w:type="spellEnd"/>
      <w:r w:rsidRPr="0063074E">
        <w:rPr>
          <w:rFonts w:eastAsia="Times New Roman"/>
          <w:color w:val="1A1A1A"/>
          <w:sz w:val="24"/>
          <w:szCs w:val="24"/>
          <w:lang w:eastAsia="pt-PT"/>
        </w:rPr>
        <w:t>”, o segundo desde o recente projeto, também Europeu, “FOIEGRAS”, para investigar o Síndrome do Fígado Gordo Não-Alcoólico (SFGNA) numa perspetiva de desenvolvimento de ferramentas não-invasivas e rápidas para um diagnóstico mais preciso. As ferramentas são baseadas em alterações metabólicas, nomeadamente ao nível da produção de energia da célula hepática.</w:t>
      </w:r>
    </w:p>
    <w:p w:rsidR="00AB777B" w:rsidRPr="0063074E" w:rsidRDefault="00AB777B" w:rsidP="00AB777B">
      <w:pPr>
        <w:spacing w:line="360" w:lineRule="auto"/>
        <w:jc w:val="both"/>
        <w:rPr>
          <w:rFonts w:eastAsia="Times New Roman"/>
          <w:color w:val="1A1A1A"/>
          <w:sz w:val="24"/>
          <w:szCs w:val="24"/>
          <w:lang w:eastAsia="pt-PT"/>
        </w:rPr>
      </w:pPr>
      <w:r w:rsidRPr="0063074E">
        <w:rPr>
          <w:rFonts w:eastAsia="Times New Roman"/>
          <w:color w:val="1A1A1A"/>
          <w:sz w:val="24"/>
          <w:szCs w:val="24"/>
          <w:lang w:eastAsia="pt-PT"/>
        </w:rPr>
        <w:t>A SFGNA afeta 6 a 37% da população mundial e poderá ser uma “assassina silenciosa” porque os sintomas evidenciam-se em fases tardias, quando se apresenta incurável, contribuindo para o aumento do risco de diabetes, cirrose hepática e cancro. A doença é atualmente diagnosticada através da biopsia do fígado, um procedimento invasivo, arriscado e caro.</w:t>
      </w:r>
    </w:p>
    <w:p w:rsidR="00AB777B" w:rsidRPr="0063074E" w:rsidRDefault="00AB777B" w:rsidP="00AB777B">
      <w:pPr>
        <w:spacing w:line="360" w:lineRule="auto"/>
        <w:jc w:val="both"/>
        <w:rPr>
          <w:rFonts w:eastAsia="Times New Roman"/>
          <w:color w:val="1A1A1A"/>
          <w:sz w:val="24"/>
          <w:szCs w:val="24"/>
          <w:lang w:eastAsia="pt-PT"/>
        </w:rPr>
      </w:pPr>
      <w:r w:rsidRPr="0063074E">
        <w:rPr>
          <w:rFonts w:eastAsia="Times New Roman"/>
          <w:color w:val="1A1A1A"/>
          <w:sz w:val="24"/>
          <w:szCs w:val="24"/>
          <w:lang w:eastAsia="pt-PT"/>
        </w:rPr>
        <w:t>O investigador João Nuno Moreira, do CNC e Faculdade de Farmácia da UC, coordena o consórcio “</w:t>
      </w:r>
      <w:proofErr w:type="spellStart"/>
      <w:r w:rsidRPr="0063074E">
        <w:rPr>
          <w:rFonts w:eastAsia="Times New Roman"/>
          <w:color w:val="1A1A1A"/>
          <w:sz w:val="24"/>
          <w:szCs w:val="24"/>
          <w:lang w:eastAsia="pt-PT"/>
        </w:rPr>
        <w:t>NanoDoxer</w:t>
      </w:r>
      <w:proofErr w:type="spellEnd"/>
      <w:r w:rsidRPr="0063074E">
        <w:rPr>
          <w:rFonts w:eastAsia="Times New Roman"/>
          <w:color w:val="1A1A1A"/>
          <w:sz w:val="24"/>
          <w:szCs w:val="24"/>
          <w:lang w:eastAsia="pt-PT"/>
        </w:rPr>
        <w:t xml:space="preserve">” que visa testar em modelos animais uma estratégia terapêutica, com sucesso já demonstrado a nível </w:t>
      </w:r>
      <w:proofErr w:type="gram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in vitro</w:t>
      </w:r>
      <w:proofErr w:type="gramEnd"/>
      <w:r w:rsidRPr="0063074E">
        <w:rPr>
          <w:rFonts w:eastAsia="Times New Roman"/>
          <w:color w:val="1A1A1A"/>
          <w:sz w:val="24"/>
          <w:szCs w:val="24"/>
          <w:lang w:eastAsia="pt-PT"/>
        </w:rPr>
        <w:t>, de combate ao cancro da mama triplo negativo e o neuroblastoma que não possuem atualmente terapias específicas.</w:t>
      </w:r>
    </w:p>
    <w:p w:rsidR="00AB777B" w:rsidRPr="0063074E" w:rsidRDefault="00AB777B" w:rsidP="00AB777B">
      <w:pPr>
        <w:spacing w:line="360" w:lineRule="auto"/>
        <w:jc w:val="both"/>
        <w:rPr>
          <w:rFonts w:eastAsia="Times New Roman"/>
          <w:color w:val="1A1A1A"/>
          <w:sz w:val="24"/>
          <w:szCs w:val="24"/>
          <w:lang w:eastAsia="pt-PT"/>
        </w:rPr>
      </w:pPr>
      <w:r w:rsidRPr="0063074E">
        <w:rPr>
          <w:rFonts w:eastAsia="Times New Roman"/>
          <w:color w:val="1A1A1A"/>
          <w:sz w:val="24"/>
          <w:szCs w:val="24"/>
          <w:lang w:eastAsia="pt-PT"/>
        </w:rPr>
        <w:t>A estratégica tem como alvo uma proteína (</w:t>
      </w:r>
      <w:proofErr w:type="spellStart"/>
      <w:r w:rsidRPr="0063074E">
        <w:rPr>
          <w:rFonts w:eastAsia="Times New Roman"/>
          <w:color w:val="1A1A1A"/>
          <w:sz w:val="24"/>
          <w:szCs w:val="24"/>
          <w:lang w:eastAsia="pt-PT"/>
        </w:rPr>
        <w:t>nucleolina</w:t>
      </w:r>
      <w:proofErr w:type="spellEnd"/>
      <w:r w:rsidRPr="0063074E">
        <w:rPr>
          <w:rFonts w:eastAsia="Times New Roman"/>
          <w:color w:val="1A1A1A"/>
          <w:sz w:val="24"/>
          <w:szCs w:val="24"/>
          <w:lang w:eastAsia="pt-PT"/>
        </w:rPr>
        <w:t xml:space="preserve">) que se encontra presente nas células estaminais cancerígenas e que permite avaliar a sua “agressividade tumoral”. A proteína será abordada através de uma combinação de fármacos transportados por uma </w:t>
      </w:r>
      <w:proofErr w:type="spellStart"/>
      <w:r w:rsidRPr="0063074E">
        <w:rPr>
          <w:rFonts w:eastAsia="Times New Roman"/>
          <w:color w:val="1A1A1A"/>
          <w:sz w:val="24"/>
          <w:szCs w:val="24"/>
          <w:lang w:eastAsia="pt-PT"/>
        </w:rPr>
        <w:t>nanopartícula</w:t>
      </w:r>
      <w:proofErr w:type="spellEnd"/>
      <w:r w:rsidRPr="0063074E">
        <w:rPr>
          <w:rFonts w:eastAsia="Times New Roman"/>
          <w:color w:val="1A1A1A"/>
          <w:sz w:val="24"/>
          <w:szCs w:val="24"/>
          <w:lang w:eastAsia="pt-PT"/>
        </w:rPr>
        <w:t xml:space="preserve"> para reduzir o impacto do tumor e a sua recorrência.</w:t>
      </w:r>
    </w:p>
    <w:p w:rsidR="00AB777B" w:rsidRPr="0063074E" w:rsidRDefault="00AB777B" w:rsidP="00AB777B">
      <w:pPr>
        <w:spacing w:line="360" w:lineRule="auto"/>
        <w:jc w:val="both"/>
        <w:rPr>
          <w:rFonts w:eastAsia="Times New Roman"/>
          <w:color w:val="1A1A1A"/>
          <w:sz w:val="24"/>
          <w:szCs w:val="24"/>
          <w:lang w:eastAsia="pt-PT"/>
        </w:rPr>
      </w:pPr>
      <w:r w:rsidRPr="0063074E">
        <w:rPr>
          <w:rFonts w:eastAsia="Times New Roman"/>
          <w:color w:val="1A1A1A"/>
          <w:sz w:val="24"/>
          <w:szCs w:val="24"/>
          <w:lang w:eastAsia="pt-PT"/>
        </w:rPr>
        <w:t>A investigadora Olga Borges participa no projeto “</w:t>
      </w:r>
      <w:proofErr w:type="spellStart"/>
      <w:r w:rsidRPr="0063074E">
        <w:rPr>
          <w:rFonts w:eastAsia="Times New Roman"/>
          <w:color w:val="1A1A1A"/>
          <w:sz w:val="24"/>
          <w:szCs w:val="24"/>
          <w:lang w:eastAsia="pt-PT"/>
        </w:rPr>
        <w:t>GoNanoBioMat</w:t>
      </w:r>
      <w:proofErr w:type="spellEnd"/>
      <w:r w:rsidRPr="0063074E">
        <w:rPr>
          <w:rFonts w:eastAsia="Times New Roman"/>
          <w:color w:val="1A1A1A"/>
          <w:sz w:val="24"/>
          <w:szCs w:val="24"/>
          <w:lang w:eastAsia="pt-PT"/>
        </w:rPr>
        <w:t xml:space="preserve">”, coordenado pelo </w:t>
      </w:r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Empa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Swiss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Laboratory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of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Materials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Science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and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Technology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,</w:t>
      </w:r>
      <w:r w:rsidRPr="0063074E">
        <w:rPr>
          <w:rFonts w:eastAsia="Times New Roman"/>
          <w:color w:val="1A1A1A"/>
          <w:sz w:val="24"/>
          <w:szCs w:val="24"/>
          <w:lang w:eastAsia="pt-PT"/>
        </w:rPr>
        <w:t xml:space="preserve"> Suíça, que irá desenvolver </w:t>
      </w:r>
      <w:proofErr w:type="spellStart"/>
      <w:r w:rsidRPr="0063074E">
        <w:rPr>
          <w:rFonts w:eastAsia="Times New Roman"/>
          <w:color w:val="1A1A1A"/>
          <w:sz w:val="24"/>
          <w:szCs w:val="24"/>
          <w:lang w:eastAsia="pt-PT"/>
        </w:rPr>
        <w:lastRenderedPageBreak/>
        <w:t>nanomateriais</w:t>
      </w:r>
      <w:proofErr w:type="spellEnd"/>
      <w:r w:rsidRPr="0063074E">
        <w:rPr>
          <w:rFonts w:eastAsia="Times New Roman"/>
          <w:color w:val="1A1A1A"/>
          <w:sz w:val="24"/>
          <w:szCs w:val="24"/>
          <w:lang w:eastAsia="pt-PT"/>
        </w:rPr>
        <w:t>, com função transportadora de fármacos (por exemplo, vacinas), através da implementação do conceito “safe-</w:t>
      </w:r>
      <w:proofErr w:type="spellStart"/>
      <w:r w:rsidRPr="0063074E">
        <w:rPr>
          <w:rFonts w:eastAsia="Times New Roman"/>
          <w:color w:val="1A1A1A"/>
          <w:sz w:val="24"/>
          <w:szCs w:val="24"/>
          <w:lang w:eastAsia="pt-PT"/>
        </w:rPr>
        <w:t>by</w:t>
      </w:r>
      <w:proofErr w:type="spellEnd"/>
      <w:r w:rsidRPr="0063074E">
        <w:rPr>
          <w:rFonts w:eastAsia="Times New Roman"/>
          <w:color w:val="1A1A1A"/>
          <w:sz w:val="24"/>
          <w:szCs w:val="24"/>
          <w:lang w:eastAsia="pt-PT"/>
        </w:rPr>
        <w:t>-design”, garantindo a sua segurança na utilização clínica e a avaliação do risco toxicológico.</w:t>
      </w:r>
    </w:p>
    <w:p w:rsidR="00AB777B" w:rsidRPr="0063074E" w:rsidRDefault="00AB777B" w:rsidP="00AB777B">
      <w:pPr>
        <w:spacing w:line="360" w:lineRule="auto"/>
        <w:jc w:val="both"/>
        <w:rPr>
          <w:rFonts w:eastAsia="Times New Roman"/>
          <w:color w:val="1A1A1A"/>
          <w:sz w:val="24"/>
          <w:szCs w:val="24"/>
          <w:lang w:eastAsia="pt-PT"/>
        </w:rPr>
      </w:pPr>
      <w:r w:rsidRPr="0063074E">
        <w:rPr>
          <w:rFonts w:eastAsia="Times New Roman"/>
          <w:color w:val="1A1A1A"/>
          <w:sz w:val="24"/>
          <w:szCs w:val="24"/>
          <w:lang w:eastAsia="pt-PT"/>
        </w:rPr>
        <w:t>O projeto “</w:t>
      </w:r>
      <w:proofErr w:type="spellStart"/>
      <w:r w:rsidRPr="0063074E">
        <w:rPr>
          <w:rFonts w:eastAsia="Times New Roman"/>
          <w:color w:val="1A1A1A"/>
          <w:sz w:val="24"/>
          <w:szCs w:val="24"/>
          <w:lang w:eastAsia="pt-PT"/>
        </w:rPr>
        <w:t>mtFOIEGRAS</w:t>
      </w:r>
      <w:proofErr w:type="spellEnd"/>
      <w:r w:rsidRPr="0063074E">
        <w:rPr>
          <w:rFonts w:eastAsia="Times New Roman"/>
          <w:color w:val="1A1A1A"/>
          <w:sz w:val="24"/>
          <w:szCs w:val="24"/>
          <w:lang w:eastAsia="pt-PT"/>
        </w:rPr>
        <w:t xml:space="preserve">” conta com a participação da Associação Protetora dos Diabéticos de Portugal, Universidade de Lisboa, Universidade do Porto e de instituições académicas, clínicas e empresariais de Itália, Alemanha, Espanha, Polónia, Reino Unido e Áustria. A investigação é apoiada através do quadro de financiamento do Horizonte 2020 na tipologia “Marie </w:t>
      </w:r>
      <w:proofErr w:type="spellStart"/>
      <w:r w:rsidRPr="0063074E">
        <w:rPr>
          <w:rFonts w:eastAsia="Times New Roman"/>
          <w:color w:val="1A1A1A"/>
          <w:sz w:val="24"/>
          <w:szCs w:val="24"/>
          <w:lang w:eastAsia="pt-PT"/>
        </w:rPr>
        <w:t>Skłodowska</w:t>
      </w:r>
      <w:proofErr w:type="spellEnd"/>
      <w:r w:rsidRPr="0063074E">
        <w:rPr>
          <w:rFonts w:eastAsia="Times New Roman"/>
          <w:color w:val="1A1A1A"/>
          <w:sz w:val="24"/>
          <w:szCs w:val="24"/>
          <w:lang w:eastAsia="pt-PT"/>
        </w:rPr>
        <w:t xml:space="preserve">-Curie Research </w:t>
      </w:r>
      <w:proofErr w:type="spellStart"/>
      <w:r w:rsidRPr="0063074E">
        <w:rPr>
          <w:rFonts w:eastAsia="Times New Roman"/>
          <w:color w:val="1A1A1A"/>
          <w:sz w:val="24"/>
          <w:szCs w:val="24"/>
          <w:lang w:eastAsia="pt-PT"/>
        </w:rPr>
        <w:t>and</w:t>
      </w:r>
      <w:proofErr w:type="spellEnd"/>
      <w:r w:rsidRPr="0063074E">
        <w:rPr>
          <w:rFonts w:eastAsia="Times New Roman"/>
          <w:color w:val="1A1A1A"/>
          <w:sz w:val="24"/>
          <w:szCs w:val="24"/>
          <w:lang w:eastAsia="pt-PT"/>
        </w:rPr>
        <w:t xml:space="preserve"> </w:t>
      </w:r>
      <w:proofErr w:type="spellStart"/>
      <w:r w:rsidRPr="0063074E">
        <w:rPr>
          <w:rFonts w:eastAsia="Times New Roman"/>
          <w:color w:val="1A1A1A"/>
          <w:sz w:val="24"/>
          <w:szCs w:val="24"/>
          <w:lang w:eastAsia="pt-PT"/>
        </w:rPr>
        <w:t>Innovation</w:t>
      </w:r>
      <w:proofErr w:type="spellEnd"/>
      <w:r w:rsidRPr="0063074E">
        <w:rPr>
          <w:rFonts w:eastAsia="Times New Roman"/>
          <w:color w:val="1A1A1A"/>
          <w:sz w:val="24"/>
          <w:szCs w:val="24"/>
          <w:lang w:eastAsia="pt-PT"/>
        </w:rPr>
        <w:t xml:space="preserve"> Staff Exchange”.</w:t>
      </w:r>
    </w:p>
    <w:p w:rsidR="00AB777B" w:rsidRPr="0063074E" w:rsidRDefault="00AB777B" w:rsidP="00AB777B">
      <w:pPr>
        <w:spacing w:line="360" w:lineRule="auto"/>
        <w:jc w:val="both"/>
        <w:rPr>
          <w:rFonts w:eastAsia="Times New Roman"/>
          <w:color w:val="1A1A1A"/>
          <w:sz w:val="24"/>
          <w:szCs w:val="24"/>
          <w:lang w:eastAsia="pt-PT"/>
        </w:rPr>
      </w:pPr>
      <w:r w:rsidRPr="0063074E">
        <w:rPr>
          <w:rFonts w:eastAsia="Times New Roman"/>
          <w:color w:val="1A1A1A"/>
          <w:sz w:val="24"/>
          <w:szCs w:val="24"/>
          <w:lang w:eastAsia="pt-PT"/>
        </w:rPr>
        <w:t>O consórcio “</w:t>
      </w:r>
      <w:proofErr w:type="spellStart"/>
      <w:r w:rsidRPr="0063074E">
        <w:rPr>
          <w:rFonts w:eastAsia="Times New Roman"/>
          <w:color w:val="1A1A1A"/>
          <w:sz w:val="24"/>
          <w:szCs w:val="24"/>
          <w:lang w:eastAsia="pt-PT"/>
        </w:rPr>
        <w:t>NanoDoxer</w:t>
      </w:r>
      <w:proofErr w:type="spellEnd"/>
      <w:r w:rsidRPr="0063074E">
        <w:rPr>
          <w:rFonts w:eastAsia="Times New Roman"/>
          <w:color w:val="1A1A1A"/>
          <w:sz w:val="24"/>
          <w:szCs w:val="24"/>
          <w:lang w:eastAsia="pt-PT"/>
        </w:rPr>
        <w:t xml:space="preserve">” é composto pela empresa portuguesa </w:t>
      </w:r>
      <w:proofErr w:type="spellStart"/>
      <w:r w:rsidRPr="0063074E">
        <w:rPr>
          <w:rFonts w:eastAsia="Times New Roman"/>
          <w:color w:val="1A1A1A"/>
          <w:sz w:val="24"/>
          <w:szCs w:val="24"/>
          <w:lang w:eastAsia="pt-PT"/>
        </w:rPr>
        <w:t>Treat</w:t>
      </w:r>
      <w:proofErr w:type="spellEnd"/>
      <w:r w:rsidRPr="0063074E">
        <w:rPr>
          <w:rFonts w:eastAsia="Times New Roman"/>
          <w:color w:val="1A1A1A"/>
          <w:sz w:val="24"/>
          <w:szCs w:val="24"/>
          <w:lang w:eastAsia="pt-PT"/>
        </w:rPr>
        <w:t xml:space="preserve">-U, o IPO do Porto, o Instituto de Oncologia de </w:t>
      </w:r>
      <w:proofErr w:type="spellStart"/>
      <w:r w:rsidRPr="0063074E">
        <w:rPr>
          <w:rFonts w:eastAsia="Times New Roman"/>
          <w:color w:val="1A1A1A"/>
          <w:sz w:val="24"/>
          <w:szCs w:val="24"/>
          <w:lang w:eastAsia="pt-PT"/>
        </w:rPr>
        <w:t>Vall</w:t>
      </w:r>
      <w:proofErr w:type="spellEnd"/>
      <w:r w:rsidRPr="0063074E">
        <w:rPr>
          <w:rFonts w:eastAsia="Times New Roman"/>
          <w:color w:val="1A1A1A"/>
          <w:sz w:val="24"/>
          <w:szCs w:val="24"/>
          <w:lang w:eastAsia="pt-PT"/>
        </w:rPr>
        <w:t xml:space="preserve"> d’ Hebron (Espanha) e o Hospital Pediátrico </w:t>
      </w:r>
      <w:proofErr w:type="spellStart"/>
      <w:r w:rsidRPr="0063074E">
        <w:rPr>
          <w:rFonts w:eastAsia="Times New Roman"/>
          <w:color w:val="1A1A1A"/>
          <w:sz w:val="24"/>
          <w:szCs w:val="24"/>
          <w:lang w:eastAsia="pt-PT"/>
        </w:rPr>
        <w:t>Gaslini</w:t>
      </w:r>
      <w:proofErr w:type="spellEnd"/>
      <w:r w:rsidRPr="0063074E">
        <w:rPr>
          <w:rFonts w:eastAsia="Times New Roman"/>
          <w:color w:val="1A1A1A"/>
          <w:sz w:val="24"/>
          <w:szCs w:val="24"/>
          <w:lang w:eastAsia="pt-PT"/>
        </w:rPr>
        <w:t xml:space="preserve"> (Itália), tendo sido um dos 11 projetos financiados pela “</w:t>
      </w:r>
      <w:proofErr w:type="spellStart"/>
      <w:r w:rsidRPr="0063074E">
        <w:rPr>
          <w:rFonts w:eastAsia="Times New Roman"/>
          <w:color w:val="1A1A1A"/>
          <w:sz w:val="24"/>
          <w:szCs w:val="24"/>
          <w:lang w:eastAsia="pt-PT"/>
        </w:rPr>
        <w:t>Euronanomed</w:t>
      </w:r>
      <w:proofErr w:type="spellEnd"/>
      <w:r w:rsidRPr="0063074E">
        <w:rPr>
          <w:rFonts w:eastAsia="Times New Roman"/>
          <w:color w:val="1A1A1A"/>
          <w:sz w:val="24"/>
          <w:szCs w:val="24"/>
          <w:lang w:eastAsia="pt-PT"/>
        </w:rPr>
        <w:t xml:space="preserve"> II </w:t>
      </w:r>
      <w:proofErr w:type="spellStart"/>
      <w:r w:rsidRPr="0063074E">
        <w:rPr>
          <w:rFonts w:eastAsia="Times New Roman"/>
          <w:color w:val="1A1A1A"/>
          <w:sz w:val="24"/>
          <w:szCs w:val="24"/>
          <w:lang w:eastAsia="pt-PT"/>
        </w:rPr>
        <w:t>Joint</w:t>
      </w:r>
      <w:proofErr w:type="spellEnd"/>
      <w:r w:rsidRPr="0063074E">
        <w:rPr>
          <w:rFonts w:eastAsia="Times New Roman"/>
          <w:color w:val="1A1A1A"/>
          <w:sz w:val="24"/>
          <w:szCs w:val="24"/>
          <w:lang w:eastAsia="pt-PT"/>
        </w:rPr>
        <w:t xml:space="preserve"> </w:t>
      </w:r>
      <w:proofErr w:type="spellStart"/>
      <w:r w:rsidRPr="0063074E">
        <w:rPr>
          <w:rFonts w:eastAsia="Times New Roman"/>
          <w:color w:val="1A1A1A"/>
          <w:sz w:val="24"/>
          <w:szCs w:val="24"/>
          <w:lang w:eastAsia="pt-PT"/>
        </w:rPr>
        <w:t>Transnational</w:t>
      </w:r>
      <w:proofErr w:type="spellEnd"/>
      <w:r w:rsidRPr="0063074E">
        <w:rPr>
          <w:rFonts w:eastAsia="Times New Roman"/>
          <w:color w:val="1A1A1A"/>
          <w:sz w:val="24"/>
          <w:szCs w:val="24"/>
          <w:lang w:eastAsia="pt-PT"/>
        </w:rPr>
        <w:t xml:space="preserve"> Call-2015” de um total de 66 candidaturas. </w:t>
      </w:r>
    </w:p>
    <w:p w:rsidR="00AB777B" w:rsidRPr="0063074E" w:rsidRDefault="00AB777B" w:rsidP="00AB777B">
      <w:pPr>
        <w:spacing w:line="360" w:lineRule="auto"/>
        <w:jc w:val="both"/>
        <w:rPr>
          <w:rFonts w:eastAsia="Times New Roman"/>
          <w:color w:val="1A1A1A"/>
          <w:sz w:val="24"/>
          <w:szCs w:val="24"/>
          <w:lang w:eastAsia="pt-PT"/>
        </w:rPr>
      </w:pPr>
      <w:r w:rsidRPr="0063074E">
        <w:rPr>
          <w:rFonts w:eastAsia="Times New Roman"/>
          <w:color w:val="1A1A1A"/>
          <w:sz w:val="24"/>
          <w:szCs w:val="24"/>
          <w:lang w:eastAsia="pt-PT"/>
        </w:rPr>
        <w:t>O projeto “</w:t>
      </w:r>
      <w:proofErr w:type="spellStart"/>
      <w:r w:rsidRPr="0063074E">
        <w:rPr>
          <w:rFonts w:eastAsia="Times New Roman"/>
          <w:color w:val="1A1A1A"/>
          <w:sz w:val="24"/>
          <w:szCs w:val="24"/>
          <w:lang w:eastAsia="pt-PT"/>
        </w:rPr>
        <w:t>GoNanoBioMat</w:t>
      </w:r>
      <w:proofErr w:type="spellEnd"/>
      <w:r w:rsidRPr="0063074E">
        <w:rPr>
          <w:rFonts w:eastAsia="Times New Roman"/>
          <w:color w:val="1A1A1A"/>
          <w:sz w:val="24"/>
          <w:szCs w:val="24"/>
          <w:lang w:eastAsia="pt-PT"/>
        </w:rPr>
        <w:t>”, financiado no quadro europeu da “</w:t>
      </w:r>
      <w:proofErr w:type="spellStart"/>
      <w:r w:rsidRPr="0063074E">
        <w:rPr>
          <w:rFonts w:eastAsia="Times New Roman"/>
          <w:color w:val="1A1A1A"/>
          <w:sz w:val="24"/>
          <w:szCs w:val="24"/>
          <w:lang w:eastAsia="pt-PT"/>
        </w:rPr>
        <w:t>ProSafe</w:t>
      </w:r>
      <w:proofErr w:type="spellEnd"/>
      <w:r w:rsidRPr="0063074E">
        <w:rPr>
          <w:rFonts w:eastAsia="Times New Roman"/>
          <w:color w:val="1A1A1A"/>
          <w:sz w:val="24"/>
          <w:szCs w:val="24"/>
          <w:lang w:eastAsia="pt-PT"/>
        </w:rPr>
        <w:t xml:space="preserve">” que visa promover a nano-segurança, conta com a participação da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University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of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Applied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Science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and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Arts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Western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Switzerland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,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University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of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</w:t>
      </w:r>
      <w:proofErr w:type="spellStart"/>
      <w:proofErr w:type="gram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Geneve</w:t>
      </w:r>
      <w:proofErr w:type="spellEnd"/>
      <w:proofErr w:type="gramEnd"/>
      <w:r w:rsidRPr="0063074E">
        <w:rPr>
          <w:rFonts w:eastAsia="Times New Roman"/>
          <w:color w:val="1A1A1A"/>
          <w:sz w:val="24"/>
          <w:szCs w:val="24"/>
          <w:lang w:eastAsia="pt-PT"/>
        </w:rPr>
        <w:t xml:space="preserve">,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Commission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of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Technology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and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Innovation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,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Hightechzentrum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Aargau</w:t>
      </w:r>
      <w:proofErr w:type="spellEnd"/>
      <w:r w:rsidRPr="0063074E">
        <w:rPr>
          <w:rFonts w:eastAsia="Times New Roman"/>
          <w:color w:val="1A1A1A"/>
          <w:sz w:val="24"/>
          <w:szCs w:val="24"/>
          <w:lang w:eastAsia="pt-PT"/>
        </w:rPr>
        <w:t xml:space="preserve"> AG,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Institut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fur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praxisorientierte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Qualifikation</w:t>
      </w:r>
      <w:proofErr w:type="spellEnd"/>
      <w:r w:rsidRPr="0063074E">
        <w:rPr>
          <w:rFonts w:eastAsia="Times New Roman"/>
          <w:color w:val="1A1A1A"/>
          <w:sz w:val="24"/>
          <w:szCs w:val="24"/>
          <w:lang w:eastAsia="pt-PT"/>
        </w:rPr>
        <w:t xml:space="preserve"> e </w:t>
      </w:r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West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University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</w:t>
      </w:r>
      <w:proofErr w:type="spellStart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>of</w:t>
      </w:r>
      <w:proofErr w:type="spellEnd"/>
      <w:r w:rsidRPr="0063074E">
        <w:rPr>
          <w:rFonts w:eastAsia="Times New Roman"/>
          <w:i/>
          <w:color w:val="1A1A1A"/>
          <w:sz w:val="24"/>
          <w:szCs w:val="24"/>
          <w:lang w:eastAsia="pt-PT"/>
        </w:rPr>
        <w:t xml:space="preserve"> Timisoara</w:t>
      </w:r>
      <w:r w:rsidRPr="0063074E">
        <w:rPr>
          <w:rFonts w:eastAsia="Times New Roman"/>
          <w:color w:val="1A1A1A"/>
          <w:sz w:val="24"/>
          <w:szCs w:val="24"/>
          <w:lang w:eastAsia="pt-PT"/>
        </w:rPr>
        <w:t>.</w:t>
      </w:r>
    </w:p>
    <w:p w:rsidR="00AB777B" w:rsidRPr="00AB777B" w:rsidRDefault="00AB777B" w:rsidP="00AB777B">
      <w:pPr>
        <w:spacing w:line="360" w:lineRule="auto"/>
        <w:jc w:val="both"/>
        <w:rPr>
          <w:rFonts w:eastAsia="Times New Roman"/>
          <w:color w:val="1A1A1A"/>
          <w:sz w:val="24"/>
          <w:szCs w:val="24"/>
          <w:lang w:eastAsia="pt-PT"/>
        </w:rPr>
      </w:pPr>
      <w:bookmarkStart w:id="0" w:name="_GoBack"/>
      <w:bookmarkEnd w:id="0"/>
    </w:p>
    <w:p w:rsidR="00AB777B" w:rsidRPr="00AB777B" w:rsidRDefault="00AB777B" w:rsidP="00AB777B">
      <w:pPr>
        <w:spacing w:line="360" w:lineRule="auto"/>
        <w:jc w:val="both"/>
        <w:rPr>
          <w:sz w:val="24"/>
          <w:szCs w:val="24"/>
        </w:rPr>
      </w:pPr>
      <w:r w:rsidRPr="00AB777B">
        <w:rPr>
          <w:sz w:val="24"/>
          <w:szCs w:val="24"/>
        </w:rPr>
        <w:t>Cristina Pinto (Assessoria de Imprensa - Universidade de Coimbra)</w:t>
      </w:r>
    </w:p>
    <w:p w:rsidR="00AB777B" w:rsidRPr="00AB777B" w:rsidRDefault="00AB777B" w:rsidP="00AB777B">
      <w:pPr>
        <w:spacing w:line="360" w:lineRule="auto"/>
        <w:jc w:val="both"/>
        <w:rPr>
          <w:sz w:val="24"/>
          <w:szCs w:val="24"/>
        </w:rPr>
      </w:pPr>
      <w:r w:rsidRPr="00AB777B">
        <w:rPr>
          <w:sz w:val="24"/>
          <w:szCs w:val="24"/>
        </w:rPr>
        <w:t>Ciência na Imprensa Regional – Ciência Viva</w:t>
      </w:r>
    </w:p>
    <w:sectPr w:rsidR="00AB777B" w:rsidRPr="00AB777B" w:rsidSect="00C17A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AB777B"/>
    <w:rsid w:val="00362D13"/>
    <w:rsid w:val="00455E80"/>
    <w:rsid w:val="0063074E"/>
    <w:rsid w:val="00943EA8"/>
    <w:rsid w:val="00AB777B"/>
    <w:rsid w:val="00C17A1B"/>
    <w:rsid w:val="00F14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A1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2791</Characters>
  <Application>Microsoft Office Word</Application>
  <DocSecurity>0</DocSecurity>
  <Lines>23</Lines>
  <Paragraphs>6</Paragraphs>
  <ScaleCrop>false</ScaleCrop>
  <Company>PERSONAL</Company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6</cp:revision>
  <dcterms:created xsi:type="dcterms:W3CDTF">2016-11-21T11:01:00Z</dcterms:created>
  <dcterms:modified xsi:type="dcterms:W3CDTF">2016-11-21T11:04:00Z</dcterms:modified>
</cp:coreProperties>
</file>